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00CA1" w14:textId="313A2414" w:rsidR="00B06BCB" w:rsidRPr="00B06BCB" w:rsidRDefault="00B06BCB" w:rsidP="00B06BCB">
      <w:pPr>
        <w:rPr>
          <w:color w:val="026B42"/>
        </w:rPr>
      </w:pPr>
    </w:p>
    <w:p w14:paraId="09D980D5" w14:textId="3FAF76A8" w:rsidR="00B06BCB" w:rsidRPr="00B06BCB" w:rsidRDefault="00B06BCB" w:rsidP="00B06BCB">
      <w:pPr>
        <w:jc w:val="both"/>
        <w:rPr>
          <w:b/>
          <w:color w:val="026B42"/>
          <w:sz w:val="28"/>
          <w:szCs w:val="28"/>
          <w:lang w:val="de-DE"/>
        </w:rPr>
      </w:pPr>
      <w:r w:rsidRPr="00B06BCB">
        <w:rPr>
          <w:rFonts w:eastAsia="Calibri" w:cstheme="minorHAnsi"/>
          <w:b/>
          <w:noProof/>
          <w:sz w:val="28"/>
          <w:szCs w:val="28"/>
        </w:rPr>
        <w:drawing>
          <wp:anchor distT="0" distB="0" distL="114300" distR="114300" simplePos="0" relativeHeight="251665408" behindDoc="1" locked="0" layoutInCell="1" allowOverlap="1" wp14:anchorId="6341478F" wp14:editId="33C0D9CB">
            <wp:simplePos x="0" y="0"/>
            <wp:positionH relativeFrom="column">
              <wp:posOffset>-56515</wp:posOffset>
            </wp:positionH>
            <wp:positionV relativeFrom="paragraph">
              <wp:posOffset>308610</wp:posOffset>
            </wp:positionV>
            <wp:extent cx="2894965" cy="923925"/>
            <wp:effectExtent l="0" t="0" r="635" b="9525"/>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4965" cy="923925"/>
                    </a:xfrm>
                    <a:prstGeom prst="rect">
                      <a:avLst/>
                    </a:prstGeom>
                    <a:noFill/>
                  </pic:spPr>
                </pic:pic>
              </a:graphicData>
            </a:graphic>
            <wp14:sizeRelH relativeFrom="margin">
              <wp14:pctWidth>0</wp14:pctWidth>
            </wp14:sizeRelH>
            <wp14:sizeRelV relativeFrom="margin">
              <wp14:pctHeight>0</wp14:pctHeight>
            </wp14:sizeRelV>
          </wp:anchor>
        </w:drawing>
      </w:r>
      <w:r w:rsidRPr="00B06BCB">
        <w:rPr>
          <w:b/>
          <w:sz w:val="28"/>
          <w:szCs w:val="28"/>
          <w:lang w:val="de-DE"/>
        </w:rPr>
        <w:t>Deutschland</w:t>
      </w:r>
      <w:r w:rsidRPr="00B06BCB">
        <w:rPr>
          <w:b/>
          <w:color w:val="026B42"/>
          <w:sz w:val="28"/>
          <w:szCs w:val="28"/>
          <w:lang w:val="de-DE"/>
        </w:rPr>
        <w:t xml:space="preserve"> </w:t>
      </w:r>
    </w:p>
    <w:p w14:paraId="5341226A" w14:textId="4967F222" w:rsidR="00B06BCB" w:rsidRDefault="00B06BCB" w:rsidP="00B06BCB">
      <w:pPr>
        <w:rPr>
          <w:color w:val="026B42"/>
          <w:sz w:val="36"/>
          <w:lang w:val="de-DE"/>
        </w:rPr>
      </w:pPr>
      <w:r w:rsidRPr="00B06BCB">
        <w:rPr>
          <w:rFonts w:ascii="Arial" w:eastAsia="Arial" w:hAnsi="Arial" w:cs="Arial"/>
          <w:b/>
          <w:noProof/>
          <w:color w:val="000000"/>
          <w:sz w:val="28"/>
          <w:szCs w:val="28"/>
        </w:rPr>
        <w:drawing>
          <wp:anchor distT="0" distB="0" distL="114300" distR="114300" simplePos="0" relativeHeight="251667456" behindDoc="1" locked="0" layoutInCell="1" allowOverlap="1" wp14:anchorId="322C7422" wp14:editId="6D6CB219">
            <wp:simplePos x="0" y="0"/>
            <wp:positionH relativeFrom="margin">
              <wp:posOffset>3121025</wp:posOffset>
            </wp:positionH>
            <wp:positionV relativeFrom="paragraph">
              <wp:posOffset>20955</wp:posOffset>
            </wp:positionV>
            <wp:extent cx="1175304" cy="701231"/>
            <wp:effectExtent l="0" t="0" r="6350" b="381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175304" cy="701231"/>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26B42"/>
          <w:sz w:val="36"/>
          <w:lang w:val="de-DE"/>
        </w:rPr>
        <w:tab/>
      </w:r>
      <w:r w:rsidRPr="00B06BCB">
        <w:rPr>
          <w:sz w:val="36"/>
          <w:lang w:val="de-DE"/>
        </w:rPr>
        <w:t xml:space="preserve"> </w:t>
      </w:r>
    </w:p>
    <w:p w14:paraId="092657BA" w14:textId="7F03588E" w:rsidR="00B06BCB" w:rsidRPr="00B06BCB" w:rsidRDefault="00B06BCB" w:rsidP="00B06BCB">
      <w:pPr>
        <w:jc w:val="center"/>
        <w:rPr>
          <w:color w:val="026B42"/>
          <w:sz w:val="24"/>
          <w:lang w:val="de-DE"/>
        </w:rPr>
      </w:pPr>
    </w:p>
    <w:p w14:paraId="00606ED1" w14:textId="7CED32D3" w:rsidR="00B06BCB" w:rsidRPr="00B06BCB" w:rsidRDefault="00B06BCB" w:rsidP="00B06BCB">
      <w:pPr>
        <w:jc w:val="center"/>
        <w:rPr>
          <w:color w:val="026B42"/>
          <w:sz w:val="24"/>
          <w:lang w:val="de-DE"/>
        </w:rPr>
      </w:pPr>
    </w:p>
    <w:p w14:paraId="4810F695" w14:textId="70B29125" w:rsidR="00B06BCB" w:rsidRDefault="00B06BCB" w:rsidP="00B06BCB">
      <w:pPr>
        <w:pBdr>
          <w:top w:val="nil"/>
          <w:left w:val="nil"/>
          <w:bottom w:val="nil"/>
          <w:right w:val="nil"/>
          <w:between w:val="nil"/>
        </w:pBdr>
        <w:spacing w:after="0" w:line="276" w:lineRule="auto"/>
        <w:jc w:val="center"/>
        <w:rPr>
          <w:rFonts w:ascii="Calibri" w:eastAsia="Arial" w:hAnsi="Calibri" w:cs="Calibri"/>
          <w:iCs/>
          <w:color w:val="000000"/>
          <w:lang w:val="en-GB" w:bidi="th-TH"/>
        </w:rPr>
      </w:pPr>
    </w:p>
    <w:p w14:paraId="50097714" w14:textId="35E4E160" w:rsidR="00B06BCB" w:rsidRPr="00B06BCB" w:rsidRDefault="00B06BCB" w:rsidP="001C2BA0">
      <w:pPr>
        <w:jc w:val="both"/>
        <w:rPr>
          <w:rFonts w:eastAsia="Calibri" w:cstheme="minorHAnsi"/>
          <w:b/>
          <w:sz w:val="28"/>
          <w:lang w:val="de-DE"/>
        </w:rPr>
      </w:pPr>
      <w:r w:rsidRPr="00B06BCB">
        <w:rPr>
          <w:rFonts w:eastAsia="Calibri" w:cstheme="minorHAnsi"/>
          <w:b/>
          <w:sz w:val="28"/>
          <w:lang w:val="de-DE"/>
        </w:rPr>
        <w:t>Einleitung</w:t>
      </w:r>
    </w:p>
    <w:p w14:paraId="290A7A4A" w14:textId="077561B7" w:rsidR="00DA67D2" w:rsidRDefault="00083987" w:rsidP="001C2BA0">
      <w:pPr>
        <w:jc w:val="both"/>
        <w:rPr>
          <w:rFonts w:eastAsia="Calibri" w:cstheme="minorHAnsi"/>
          <w:lang w:val="de-DE"/>
        </w:rPr>
      </w:pPr>
      <w:r>
        <w:rPr>
          <w:rFonts w:eastAsia="Calibri" w:cstheme="minorHAnsi"/>
          <w:lang w:val="de-DE"/>
        </w:rPr>
        <w:t xml:space="preserve">Die </w:t>
      </w:r>
      <w:hyperlink r:id="rId10" w:history="1">
        <w:r w:rsidRPr="00083987">
          <w:rPr>
            <w:rStyle w:val="Hyperlink"/>
            <w:rFonts w:eastAsia="Calibri" w:cstheme="minorHAnsi"/>
            <w:lang w:val="de-DE"/>
          </w:rPr>
          <w:t>Global Study</w:t>
        </w:r>
      </w:hyperlink>
      <w:r>
        <w:rPr>
          <w:rFonts w:eastAsia="Calibri" w:cstheme="minorHAnsi"/>
          <w:lang w:val="de-DE"/>
        </w:rPr>
        <w:t xml:space="preserve"> von ECPAT International hat </w:t>
      </w:r>
      <w:r w:rsidR="00365A49">
        <w:rPr>
          <w:rFonts w:eastAsia="Calibri" w:cstheme="minorHAnsi"/>
          <w:lang w:val="de-DE"/>
        </w:rPr>
        <w:t xml:space="preserve">zu </w:t>
      </w:r>
      <w:r>
        <w:rPr>
          <w:rFonts w:eastAsia="Calibri" w:cstheme="minorHAnsi"/>
          <w:lang w:val="de-DE"/>
        </w:rPr>
        <w:t>wesentliche</w:t>
      </w:r>
      <w:r w:rsidR="00365A49">
        <w:rPr>
          <w:rFonts w:eastAsia="Calibri" w:cstheme="minorHAnsi"/>
          <w:lang w:val="de-DE"/>
        </w:rPr>
        <w:t>n</w:t>
      </w:r>
      <w:r>
        <w:rPr>
          <w:rFonts w:eastAsia="Calibri" w:cstheme="minorHAnsi"/>
          <w:lang w:val="de-DE"/>
        </w:rPr>
        <w:t xml:space="preserve"> Erkenntnisse</w:t>
      </w:r>
      <w:r w:rsidR="00365A49">
        <w:rPr>
          <w:rFonts w:eastAsia="Calibri" w:cstheme="minorHAnsi"/>
          <w:lang w:val="de-DE"/>
        </w:rPr>
        <w:t>n</w:t>
      </w:r>
      <w:r>
        <w:rPr>
          <w:rFonts w:eastAsia="Calibri" w:cstheme="minorHAnsi"/>
          <w:lang w:val="de-DE"/>
        </w:rPr>
        <w:t xml:space="preserve"> sexueller Ausbeutung </w:t>
      </w:r>
      <w:r w:rsidR="00365A49">
        <w:rPr>
          <w:rFonts w:eastAsia="Calibri" w:cstheme="minorHAnsi"/>
          <w:lang w:val="de-DE"/>
        </w:rPr>
        <w:t>von Kindern weltweit</w:t>
      </w:r>
      <w:r>
        <w:rPr>
          <w:rFonts w:eastAsia="Calibri" w:cstheme="minorHAnsi"/>
          <w:lang w:val="de-DE"/>
        </w:rPr>
        <w:t xml:space="preserve"> ge</w:t>
      </w:r>
      <w:r w:rsidR="00365A49">
        <w:rPr>
          <w:rFonts w:eastAsia="Calibri" w:cstheme="minorHAnsi"/>
          <w:lang w:val="de-DE"/>
        </w:rPr>
        <w:t>führt</w:t>
      </w:r>
      <w:r>
        <w:rPr>
          <w:rFonts w:eastAsia="Calibri" w:cstheme="minorHAnsi"/>
          <w:lang w:val="de-DE"/>
        </w:rPr>
        <w:t xml:space="preserve">. Hierin </w:t>
      </w:r>
      <w:r w:rsidR="002D5339">
        <w:rPr>
          <w:rFonts w:eastAsia="Calibri" w:cstheme="minorHAnsi"/>
          <w:lang w:val="de-DE"/>
        </w:rPr>
        <w:t xml:space="preserve">sind </w:t>
      </w:r>
      <w:r>
        <w:rPr>
          <w:rFonts w:eastAsia="Calibri" w:cstheme="minorHAnsi"/>
          <w:lang w:val="de-DE"/>
        </w:rPr>
        <w:t>auch Empfehlungen</w:t>
      </w:r>
      <w:r w:rsidR="00365A49">
        <w:rPr>
          <w:rFonts w:eastAsia="Calibri" w:cstheme="minorHAnsi"/>
          <w:lang w:val="de-DE"/>
        </w:rPr>
        <w:t>,</w:t>
      </w:r>
      <w:r>
        <w:rPr>
          <w:rFonts w:eastAsia="Calibri" w:cstheme="minorHAnsi"/>
          <w:lang w:val="de-DE"/>
        </w:rPr>
        <w:t xml:space="preserve"> unter anderem für Regierungen</w:t>
      </w:r>
      <w:r w:rsidR="00847A43">
        <w:rPr>
          <w:rFonts w:eastAsia="Calibri" w:cstheme="minorHAnsi"/>
          <w:lang w:val="de-DE"/>
        </w:rPr>
        <w:t>,</w:t>
      </w:r>
      <w:r>
        <w:rPr>
          <w:rFonts w:eastAsia="Calibri" w:cstheme="minorHAnsi"/>
          <w:lang w:val="de-DE"/>
        </w:rPr>
        <w:t xml:space="preserve"> enthalten, um Kinder vor diesem Verbrechen zu schützen. </w:t>
      </w:r>
      <w:r w:rsidR="00DA67D2" w:rsidRPr="00DA67D2">
        <w:rPr>
          <w:rFonts w:eastAsia="Calibri" w:cstheme="minorHAnsi"/>
          <w:lang w:val="de-DE"/>
        </w:rPr>
        <w:t>ECPAT International</w:t>
      </w:r>
      <w:r w:rsidR="002D5339">
        <w:rPr>
          <w:rFonts w:eastAsia="Calibri" w:cstheme="minorHAnsi"/>
          <w:lang w:val="de-DE"/>
        </w:rPr>
        <w:t xml:space="preserve"> hat</w:t>
      </w:r>
      <w:r w:rsidR="00DA67D2" w:rsidRPr="00DA67D2">
        <w:rPr>
          <w:rFonts w:eastAsia="Calibri" w:cstheme="minorHAnsi"/>
          <w:lang w:val="de-DE"/>
        </w:rPr>
        <w:t xml:space="preserve"> </w:t>
      </w:r>
      <w:r>
        <w:rPr>
          <w:rFonts w:eastAsia="Calibri" w:cstheme="minorHAnsi"/>
          <w:lang w:val="de-DE"/>
        </w:rPr>
        <w:t xml:space="preserve">auf Basis </w:t>
      </w:r>
      <w:r w:rsidR="00365A49">
        <w:rPr>
          <w:rFonts w:eastAsia="Calibri" w:cstheme="minorHAnsi"/>
          <w:lang w:val="de-DE"/>
        </w:rPr>
        <w:t xml:space="preserve">dessen </w:t>
      </w:r>
      <w:r w:rsidR="00A5047A">
        <w:rPr>
          <w:rFonts w:eastAsia="Calibri" w:cstheme="minorHAnsi"/>
          <w:lang w:val="de-DE"/>
        </w:rPr>
        <w:t>eine</w:t>
      </w:r>
      <w:r w:rsidR="008D6203">
        <w:rPr>
          <w:rFonts w:eastAsia="Calibri" w:cstheme="minorHAnsi"/>
          <w:lang w:val="de-DE"/>
        </w:rPr>
        <w:t xml:space="preserve"> Rechtliche Checkliste</w:t>
      </w:r>
      <w:r w:rsidR="00DA67D2" w:rsidRPr="00DA67D2">
        <w:rPr>
          <w:rFonts w:eastAsia="Calibri" w:cstheme="minorHAnsi"/>
          <w:lang w:val="de-DE"/>
        </w:rPr>
        <w:t xml:space="preserve"> </w:t>
      </w:r>
      <w:r w:rsidR="008D6203">
        <w:rPr>
          <w:rFonts w:eastAsia="Calibri" w:cstheme="minorHAnsi"/>
          <w:lang w:val="de-DE"/>
        </w:rPr>
        <w:t>(</w:t>
      </w:r>
      <w:hyperlink r:id="rId11" w:history="1">
        <w:r w:rsidR="00A5047A">
          <w:rPr>
            <w:rFonts w:eastAsia="Calibri" w:cstheme="minorHAnsi"/>
            <w:color w:val="0563C1"/>
            <w:u w:val="single"/>
            <w:lang w:val="de-DE"/>
          </w:rPr>
          <w:t>Legal</w:t>
        </w:r>
        <w:r w:rsidR="001C2BA0" w:rsidRPr="00DA67D2">
          <w:rPr>
            <w:rFonts w:eastAsia="Calibri" w:cstheme="minorHAnsi"/>
            <w:color w:val="0563C1"/>
            <w:u w:val="single"/>
            <w:lang w:val="de-DE"/>
          </w:rPr>
          <w:t xml:space="preserve"> </w:t>
        </w:r>
        <w:r w:rsidR="00DA67D2" w:rsidRPr="00DA67D2">
          <w:rPr>
            <w:rFonts w:eastAsia="Calibri" w:cstheme="minorHAnsi"/>
            <w:color w:val="0563C1"/>
            <w:u w:val="single"/>
            <w:lang w:val="de-DE"/>
          </w:rPr>
          <w:t>C</w:t>
        </w:r>
        <w:r w:rsidR="001C2BA0" w:rsidRPr="00DA67D2">
          <w:rPr>
            <w:rFonts w:eastAsia="Calibri" w:cstheme="minorHAnsi"/>
            <w:color w:val="0563C1"/>
            <w:u w:val="single"/>
            <w:lang w:val="de-DE"/>
          </w:rPr>
          <w:t>hecklist</w:t>
        </w:r>
      </w:hyperlink>
      <w:r w:rsidR="008D6203">
        <w:rPr>
          <w:rFonts w:eastAsia="Calibri" w:cstheme="minorHAnsi"/>
          <w:color w:val="0563C1"/>
          <w:u w:val="single"/>
          <w:lang w:val="de-DE"/>
        </w:rPr>
        <w:t>)</w:t>
      </w:r>
      <w:r w:rsidR="001C2BA0" w:rsidRPr="00DA67D2">
        <w:rPr>
          <w:rFonts w:eastAsia="Calibri" w:cstheme="minorHAnsi"/>
          <w:lang w:val="de-DE"/>
        </w:rPr>
        <w:t xml:space="preserve"> </w:t>
      </w:r>
      <w:r w:rsidR="00DA67D2" w:rsidRPr="00DA67D2">
        <w:rPr>
          <w:rFonts w:eastAsia="Calibri" w:cstheme="minorHAnsi"/>
          <w:lang w:val="de-DE"/>
        </w:rPr>
        <w:t>entwickelt, die</w:t>
      </w:r>
      <w:r>
        <w:rPr>
          <w:rFonts w:eastAsia="Calibri" w:cstheme="minorHAnsi"/>
          <w:lang w:val="de-DE"/>
        </w:rPr>
        <w:t xml:space="preserve"> 24</w:t>
      </w:r>
      <w:r w:rsidR="00DA67D2" w:rsidRPr="00DA67D2">
        <w:rPr>
          <w:rFonts w:eastAsia="Calibri" w:cstheme="minorHAnsi"/>
          <w:lang w:val="de-DE"/>
        </w:rPr>
        <w:t xml:space="preserve"> </w:t>
      </w:r>
      <w:r w:rsidR="006A4ED8">
        <w:rPr>
          <w:rFonts w:eastAsia="Calibri" w:cstheme="minorHAnsi"/>
          <w:lang w:val="de-DE"/>
        </w:rPr>
        <w:t xml:space="preserve">Empfehlungen für nationale rechtliche Rahmenbedingungen </w:t>
      </w:r>
      <w:r w:rsidR="008D6203">
        <w:rPr>
          <w:rFonts w:eastAsia="Calibri" w:cstheme="minorHAnsi"/>
          <w:lang w:val="de-DE"/>
        </w:rPr>
        <w:t>zum Schutz von Kindern vor sexueller Ausbeutung auf Reisen und im Tourismus</w:t>
      </w:r>
      <w:r w:rsidR="00DA67D2" w:rsidRPr="00DA67D2">
        <w:rPr>
          <w:rFonts w:eastAsia="Calibri" w:cstheme="minorHAnsi"/>
          <w:lang w:val="de-DE"/>
        </w:rPr>
        <w:t xml:space="preserve"> </w:t>
      </w:r>
      <w:r w:rsidR="006A4ED8">
        <w:rPr>
          <w:rFonts w:eastAsia="Calibri" w:cstheme="minorHAnsi"/>
          <w:lang w:val="de-DE"/>
        </w:rPr>
        <w:t>umfasst</w:t>
      </w:r>
      <w:r w:rsidR="00DA67D2" w:rsidRPr="00DA67D2">
        <w:rPr>
          <w:rFonts w:eastAsia="Calibri" w:cstheme="minorHAnsi"/>
          <w:lang w:val="de-DE"/>
        </w:rPr>
        <w:t xml:space="preserve">. </w:t>
      </w:r>
      <w:r w:rsidR="006A4ED8">
        <w:rPr>
          <w:rFonts w:eastAsia="Calibri" w:cstheme="minorHAnsi"/>
          <w:lang w:val="de-DE"/>
        </w:rPr>
        <w:t>D</w:t>
      </w:r>
      <w:r w:rsidR="008D6203">
        <w:rPr>
          <w:rFonts w:eastAsia="Calibri" w:cstheme="minorHAnsi"/>
          <w:lang w:val="de-DE"/>
        </w:rPr>
        <w:t xml:space="preserve">iese Checkliste </w:t>
      </w:r>
      <w:r w:rsidR="006A4ED8">
        <w:rPr>
          <w:rFonts w:eastAsia="Calibri" w:cstheme="minorHAnsi"/>
          <w:lang w:val="de-DE"/>
        </w:rPr>
        <w:t>zeigt</w:t>
      </w:r>
      <w:r w:rsidR="008D6203">
        <w:rPr>
          <w:rFonts w:eastAsia="Calibri" w:cstheme="minorHAnsi"/>
          <w:lang w:val="de-DE"/>
        </w:rPr>
        <w:t xml:space="preserve"> </w:t>
      </w:r>
      <w:r w:rsidR="006A4ED8">
        <w:rPr>
          <w:rFonts w:eastAsia="Calibri" w:cstheme="minorHAnsi"/>
          <w:lang w:val="de-DE"/>
        </w:rPr>
        <w:t xml:space="preserve">gesetzliche </w:t>
      </w:r>
      <w:r w:rsidR="008D6203" w:rsidRPr="00DA67D2">
        <w:rPr>
          <w:rFonts w:eastAsia="Calibri" w:cstheme="minorHAnsi"/>
          <w:lang w:val="de-DE"/>
        </w:rPr>
        <w:t xml:space="preserve">Interventionen und Maßnahmen </w:t>
      </w:r>
      <w:r w:rsidR="006A4ED8">
        <w:rPr>
          <w:rFonts w:eastAsia="Calibri" w:cstheme="minorHAnsi"/>
          <w:lang w:val="de-DE"/>
        </w:rPr>
        <w:t>auf,</w:t>
      </w:r>
      <w:r w:rsidR="008D6203">
        <w:rPr>
          <w:rFonts w:eastAsia="Calibri" w:cstheme="minorHAnsi"/>
          <w:lang w:val="de-DE"/>
        </w:rPr>
        <w:t xml:space="preserve"> um</w:t>
      </w:r>
      <w:r w:rsidR="00DA67D2" w:rsidRPr="00DA67D2">
        <w:rPr>
          <w:rFonts w:eastAsia="Calibri" w:cstheme="minorHAnsi"/>
          <w:lang w:val="de-DE"/>
        </w:rPr>
        <w:t xml:space="preserve"> das Verbrechen der sexuellen Ausbeutung von Kindern </w:t>
      </w:r>
      <w:r w:rsidR="008D6203">
        <w:rPr>
          <w:rFonts w:eastAsia="Calibri" w:cstheme="minorHAnsi"/>
          <w:lang w:val="de-DE"/>
        </w:rPr>
        <w:t>auf Reisen</w:t>
      </w:r>
      <w:r w:rsidR="00DA67D2" w:rsidRPr="00DA67D2">
        <w:rPr>
          <w:rFonts w:eastAsia="Calibri" w:cstheme="minorHAnsi"/>
          <w:lang w:val="de-DE"/>
        </w:rPr>
        <w:t xml:space="preserve"> und im Tourismus</w:t>
      </w:r>
      <w:r w:rsidR="006364E0">
        <w:rPr>
          <w:rFonts w:eastAsia="Calibri" w:cstheme="minorHAnsi"/>
          <w:lang w:val="de-DE"/>
        </w:rPr>
        <w:t xml:space="preserve"> </w:t>
      </w:r>
      <w:r w:rsidR="00DA67D2" w:rsidRPr="00DA67D2">
        <w:rPr>
          <w:rFonts w:eastAsia="Calibri" w:cstheme="minorHAnsi"/>
          <w:lang w:val="de-DE"/>
        </w:rPr>
        <w:t>wirksam bekämpfen</w:t>
      </w:r>
      <w:r w:rsidR="006A4ED8">
        <w:rPr>
          <w:rFonts w:eastAsia="Calibri" w:cstheme="minorHAnsi"/>
          <w:lang w:val="de-DE"/>
        </w:rPr>
        <w:t xml:space="preserve"> zu können</w:t>
      </w:r>
      <w:r w:rsidR="00DA67D2" w:rsidRPr="00DA67D2">
        <w:rPr>
          <w:rFonts w:eastAsia="Calibri" w:cstheme="minorHAnsi"/>
          <w:lang w:val="de-DE"/>
        </w:rPr>
        <w:t xml:space="preserve">. </w:t>
      </w:r>
      <w:r w:rsidR="006A4ED8">
        <w:rPr>
          <w:rFonts w:eastAsia="Calibri" w:cstheme="minorHAnsi"/>
          <w:lang w:val="de-DE"/>
        </w:rPr>
        <w:t xml:space="preserve">Anhand dieser </w:t>
      </w:r>
      <w:r w:rsidR="00746460">
        <w:rPr>
          <w:rFonts w:eastAsia="Calibri" w:cstheme="minorHAnsi"/>
          <w:lang w:val="de-DE"/>
        </w:rPr>
        <w:t xml:space="preserve">24 Empfehlungen der </w:t>
      </w:r>
      <w:r w:rsidR="006A4ED8">
        <w:rPr>
          <w:rFonts w:eastAsia="Calibri" w:cstheme="minorHAnsi"/>
          <w:lang w:val="de-DE"/>
        </w:rPr>
        <w:t xml:space="preserve">Checkliste kann die derzeitige Rechtslage einzelner Länder analysiert werden. Von ECPAT International wurden bereits </w:t>
      </w:r>
      <w:r>
        <w:rPr>
          <w:rFonts w:eastAsia="Calibri" w:cstheme="minorHAnsi"/>
          <w:lang w:val="de-DE"/>
        </w:rPr>
        <w:t xml:space="preserve">einige länderspezifische Analysen durchgeführt, die auf der </w:t>
      </w:r>
      <w:hyperlink r:id="rId12" w:anchor="filter" w:history="1">
        <w:r w:rsidRPr="00746460">
          <w:rPr>
            <w:rStyle w:val="Hyperlink"/>
            <w:rFonts w:eastAsia="Calibri" w:cstheme="minorHAnsi"/>
            <w:lang w:val="de-DE"/>
          </w:rPr>
          <w:t>Homepage</w:t>
        </w:r>
      </w:hyperlink>
      <w:r>
        <w:rPr>
          <w:rFonts w:eastAsia="Calibri" w:cstheme="minorHAnsi"/>
          <w:lang w:val="de-DE"/>
        </w:rPr>
        <w:t xml:space="preserve"> zu finden sind. </w:t>
      </w:r>
    </w:p>
    <w:p w14:paraId="011E916F" w14:textId="50A06289" w:rsidR="00365A49" w:rsidRDefault="00365A49" w:rsidP="001C2BA0">
      <w:pPr>
        <w:jc w:val="both"/>
        <w:rPr>
          <w:rFonts w:eastAsia="Calibri" w:cstheme="minorHAnsi"/>
          <w:lang w:val="de-DE"/>
        </w:rPr>
      </w:pPr>
      <w:r>
        <w:rPr>
          <w:rFonts w:eastAsia="Calibri" w:cstheme="minorHAnsi"/>
          <w:lang w:val="de-DE"/>
        </w:rPr>
        <w:t xml:space="preserve">In dem vorliegenden Papier wird die Rechtslage in Deutschland bezüglich sexueller Ausbeutung von Kindern anhand der 24 Empfehlungen der Legal Checklist analysiert. Dies dient als Ausgangsbasis, um den Stand der Umsetzung rechtlicher Maßnahmen zu verbessertem Schutz von Kindern aufzuzeigen und zu beobachten. Für Regierungsvertreter*innen bietet diese Analyse einen Überblick zu Lücken in der Gesetzgebung sowie Hinweise, wie Maßnahmen zum Schutz von Kindern verbessert werden können. </w:t>
      </w:r>
    </w:p>
    <w:p w14:paraId="33F0EF52" w14:textId="0FAA04D2" w:rsidR="004C7FAF" w:rsidRDefault="004C7FAF" w:rsidP="001C2BA0">
      <w:pPr>
        <w:jc w:val="both"/>
        <w:rPr>
          <w:rFonts w:eastAsia="Calibri" w:cstheme="minorHAnsi"/>
          <w:lang w:val="de-DE"/>
        </w:rPr>
      </w:pPr>
    </w:p>
    <w:p w14:paraId="08879940" w14:textId="4428B79E" w:rsidR="004C7FAF" w:rsidRDefault="004C7FAF" w:rsidP="001C2BA0">
      <w:pPr>
        <w:jc w:val="both"/>
        <w:rPr>
          <w:rFonts w:eastAsia="Calibri" w:cstheme="minorHAnsi"/>
          <w:lang w:val="de-DE"/>
        </w:rPr>
      </w:pPr>
    </w:p>
    <w:p w14:paraId="6918F62C" w14:textId="77777777" w:rsidR="004C7FAF" w:rsidRDefault="004C7FAF" w:rsidP="001C2BA0">
      <w:pPr>
        <w:jc w:val="both"/>
        <w:rPr>
          <w:rFonts w:eastAsia="Calibri" w:cstheme="minorHAnsi"/>
          <w:lang w:val="de-DE"/>
        </w:rPr>
      </w:pPr>
    </w:p>
    <w:p w14:paraId="469AF82D" w14:textId="45E61F67" w:rsidR="001C2BA0" w:rsidRDefault="001C2BA0" w:rsidP="001C2BA0">
      <w:pPr>
        <w:pBdr>
          <w:top w:val="nil"/>
          <w:left w:val="nil"/>
          <w:bottom w:val="nil"/>
          <w:right w:val="nil"/>
          <w:between w:val="nil"/>
        </w:pBdr>
        <w:spacing w:after="0" w:line="276" w:lineRule="auto"/>
        <w:rPr>
          <w:rFonts w:ascii="Calibri" w:eastAsia="Arial" w:hAnsi="Calibri" w:cs="Calibri"/>
          <w:b/>
          <w:color w:val="136B41"/>
          <w:u w:val="single"/>
          <w:lang w:val="de-DE" w:bidi="th-TH"/>
        </w:rPr>
      </w:pPr>
    </w:p>
    <w:p w14:paraId="284F7F99" w14:textId="2AEE5DBB" w:rsidR="00B06BCB" w:rsidRPr="001D4906" w:rsidRDefault="001D4906" w:rsidP="001C2BA0">
      <w:pPr>
        <w:pBdr>
          <w:top w:val="nil"/>
          <w:left w:val="nil"/>
          <w:bottom w:val="nil"/>
          <w:right w:val="nil"/>
          <w:between w:val="nil"/>
        </w:pBdr>
        <w:spacing w:after="0" w:line="276" w:lineRule="auto"/>
        <w:rPr>
          <w:rFonts w:ascii="Calibri" w:eastAsia="Arial" w:hAnsi="Calibri" w:cs="Calibri"/>
          <w:b/>
          <w:sz w:val="28"/>
          <w:lang w:val="de-DE" w:bidi="th-TH"/>
        </w:rPr>
      </w:pPr>
      <w:r w:rsidRPr="001D4906">
        <w:rPr>
          <w:rFonts w:ascii="Calibri" w:eastAsia="Arial" w:hAnsi="Calibri" w:cs="Calibri"/>
          <w:b/>
          <w:sz w:val="28"/>
          <w:lang w:val="de-DE" w:bidi="th-TH"/>
        </w:rPr>
        <w:lastRenderedPageBreak/>
        <w:t>Legal Checklist und Analyse der Rechtslage</w:t>
      </w:r>
      <w:r w:rsidR="00746460">
        <w:rPr>
          <w:rStyle w:val="FootnoteReference"/>
          <w:rFonts w:ascii="Calibri" w:eastAsia="Arial" w:hAnsi="Calibri" w:cs="Calibri"/>
          <w:b/>
          <w:sz w:val="28"/>
          <w:lang w:val="de-DE" w:bidi="th-TH"/>
        </w:rPr>
        <w:footnoteReference w:id="1"/>
      </w:r>
      <w:r w:rsidR="00746460" w:rsidRPr="001D4906">
        <w:rPr>
          <w:rFonts w:ascii="Calibri" w:eastAsia="Arial" w:hAnsi="Calibri" w:cs="Calibri"/>
          <w:b/>
          <w:sz w:val="28"/>
          <w:lang w:val="de-DE" w:bidi="th-TH"/>
        </w:rPr>
        <w:t xml:space="preserve"> </w:t>
      </w:r>
      <w:r w:rsidRPr="001D4906">
        <w:rPr>
          <w:rFonts w:ascii="Calibri" w:eastAsia="Arial" w:hAnsi="Calibri" w:cs="Calibri"/>
          <w:b/>
          <w:sz w:val="28"/>
          <w:lang w:val="de-DE" w:bidi="th-TH"/>
        </w:rPr>
        <w:t xml:space="preserve"> in Deutschland </w:t>
      </w:r>
    </w:p>
    <w:p w14:paraId="28B86ACE" w14:textId="77777777" w:rsidR="00B06BCB" w:rsidRPr="00DA67D2" w:rsidRDefault="00B06BCB" w:rsidP="001C2BA0">
      <w:pPr>
        <w:pBdr>
          <w:top w:val="nil"/>
          <w:left w:val="nil"/>
          <w:bottom w:val="nil"/>
          <w:right w:val="nil"/>
          <w:between w:val="nil"/>
        </w:pBdr>
        <w:spacing w:after="0" w:line="276" w:lineRule="auto"/>
        <w:rPr>
          <w:rFonts w:ascii="Calibri" w:eastAsia="Arial" w:hAnsi="Calibri" w:cs="Calibri"/>
          <w:b/>
          <w:color w:val="136B41"/>
          <w:u w:val="single"/>
          <w:lang w:val="de-DE" w:bidi="th-TH"/>
        </w:rPr>
      </w:pPr>
    </w:p>
    <w:tbl>
      <w:tblPr>
        <w:tblStyle w:val="TableGrid"/>
        <w:tblW w:w="13036" w:type="dxa"/>
        <w:tblLayout w:type="fixed"/>
        <w:tblLook w:val="0600" w:firstRow="0" w:lastRow="0" w:firstColumn="0" w:lastColumn="0" w:noHBand="1" w:noVBand="1"/>
      </w:tblPr>
      <w:tblGrid>
        <w:gridCol w:w="425"/>
        <w:gridCol w:w="5387"/>
        <w:gridCol w:w="1701"/>
        <w:gridCol w:w="5523"/>
      </w:tblGrid>
      <w:tr w:rsidR="001C2BA0" w:rsidRPr="001C2BA0" w14:paraId="0F2903F9" w14:textId="77777777" w:rsidTr="00A57D8B">
        <w:trPr>
          <w:trHeight w:val="460"/>
        </w:trPr>
        <w:tc>
          <w:tcPr>
            <w:tcW w:w="425" w:type="dxa"/>
          </w:tcPr>
          <w:p w14:paraId="422FAD90" w14:textId="77777777" w:rsidR="001C2BA0" w:rsidRPr="00DA67D2" w:rsidRDefault="001C2BA0" w:rsidP="001C2BA0">
            <w:pPr>
              <w:rPr>
                <w:rFonts w:ascii="Calibri" w:hAnsi="Calibri" w:cs="Calibri"/>
                <w:b/>
                <w:sz w:val="24"/>
                <w:szCs w:val="24"/>
                <w:lang w:val="de-DE"/>
              </w:rPr>
            </w:pPr>
          </w:p>
        </w:tc>
        <w:tc>
          <w:tcPr>
            <w:tcW w:w="5387" w:type="dxa"/>
          </w:tcPr>
          <w:p w14:paraId="3A2257A3" w14:textId="3DD49F95" w:rsidR="001C2BA0" w:rsidRPr="00A57D8B" w:rsidRDefault="00C55A34" w:rsidP="001C2BA0">
            <w:pPr>
              <w:rPr>
                <w:rFonts w:ascii="Calibri" w:hAnsi="Calibri" w:cs="Calibri"/>
                <w:b/>
                <w:color w:val="000000" w:themeColor="text1"/>
                <w:lang w:val="en-GB"/>
              </w:rPr>
            </w:pPr>
            <w:proofErr w:type="spellStart"/>
            <w:r>
              <w:rPr>
                <w:rFonts w:ascii="Calibri" w:hAnsi="Calibri" w:cs="Calibri"/>
                <w:b/>
                <w:color w:val="000000" w:themeColor="text1"/>
                <w:lang w:val="en-GB"/>
              </w:rPr>
              <w:t>Empfehlungen</w:t>
            </w:r>
            <w:proofErr w:type="spellEnd"/>
          </w:p>
        </w:tc>
        <w:tc>
          <w:tcPr>
            <w:tcW w:w="1701" w:type="dxa"/>
          </w:tcPr>
          <w:p w14:paraId="5288D863" w14:textId="446010CA" w:rsidR="001C2BA0" w:rsidRPr="00A57D8B" w:rsidRDefault="00C55A34" w:rsidP="001C2BA0">
            <w:pPr>
              <w:rPr>
                <w:rFonts w:ascii="Calibri" w:hAnsi="Calibri" w:cs="Calibri"/>
                <w:b/>
                <w:color w:val="000000" w:themeColor="text1"/>
                <w:lang w:val="en-GB"/>
              </w:rPr>
            </w:pPr>
            <w:proofErr w:type="spellStart"/>
            <w:r>
              <w:rPr>
                <w:rFonts w:ascii="Calibri" w:hAnsi="Calibri" w:cs="Calibri"/>
                <w:b/>
                <w:color w:val="000000" w:themeColor="text1"/>
                <w:lang w:val="en-GB"/>
              </w:rPr>
              <w:t>Umgesetzt</w:t>
            </w:r>
            <w:proofErr w:type="spellEnd"/>
          </w:p>
        </w:tc>
        <w:tc>
          <w:tcPr>
            <w:tcW w:w="5523" w:type="dxa"/>
          </w:tcPr>
          <w:p w14:paraId="66E23570" w14:textId="031D076D" w:rsidR="001C2BA0" w:rsidRPr="00C77207" w:rsidRDefault="00C55A34" w:rsidP="008543B6">
            <w:pPr>
              <w:rPr>
                <w:rFonts w:cstheme="minorHAnsi"/>
                <w:b/>
                <w:color w:val="000000" w:themeColor="text1"/>
                <w:lang w:val="en-GB"/>
              </w:rPr>
            </w:pPr>
            <w:proofErr w:type="spellStart"/>
            <w:r>
              <w:rPr>
                <w:rFonts w:cstheme="minorHAnsi"/>
                <w:b/>
                <w:color w:val="000000" w:themeColor="text1"/>
                <w:lang w:val="en-GB"/>
              </w:rPr>
              <w:t>Rechtslage</w:t>
            </w:r>
            <w:proofErr w:type="spellEnd"/>
            <w:r w:rsidR="00DE36F5">
              <w:rPr>
                <w:rFonts w:cstheme="minorHAnsi"/>
                <w:b/>
                <w:color w:val="000000" w:themeColor="text1"/>
                <w:lang w:val="en-GB"/>
              </w:rPr>
              <w:t xml:space="preserve"> in Deutschland</w:t>
            </w:r>
          </w:p>
        </w:tc>
      </w:tr>
      <w:tr w:rsidR="001C2BA0" w:rsidRPr="00F206A4" w14:paraId="1ECB72CA" w14:textId="77777777" w:rsidTr="00A57D8B">
        <w:trPr>
          <w:trHeight w:val="1076"/>
        </w:trPr>
        <w:tc>
          <w:tcPr>
            <w:tcW w:w="425" w:type="dxa"/>
          </w:tcPr>
          <w:p w14:paraId="338A2BB8" w14:textId="77777777" w:rsidR="001C2BA0" w:rsidRPr="001C2BA0" w:rsidRDefault="001C2BA0" w:rsidP="001C2BA0">
            <w:pPr>
              <w:numPr>
                <w:ilvl w:val="0"/>
                <w:numId w:val="2"/>
              </w:numPr>
              <w:contextualSpacing/>
              <w:rPr>
                <w:rFonts w:ascii="Calibri" w:hAnsi="Calibri" w:cs="Calibri"/>
                <w:szCs w:val="28"/>
                <w:lang w:val="en-GB"/>
              </w:rPr>
            </w:pPr>
          </w:p>
        </w:tc>
        <w:tc>
          <w:tcPr>
            <w:tcW w:w="5387" w:type="dxa"/>
          </w:tcPr>
          <w:p w14:paraId="56BBF787" w14:textId="4FDFF7C7" w:rsidR="001C2BA0" w:rsidRPr="00313967" w:rsidRDefault="00313967" w:rsidP="000F3F4C">
            <w:pPr>
              <w:rPr>
                <w:rFonts w:ascii="Calibri" w:hAnsi="Calibri" w:cs="Calibri"/>
                <w:color w:val="000000" w:themeColor="text1"/>
                <w:lang w:val="de-DE"/>
              </w:rPr>
            </w:pPr>
            <w:r w:rsidRPr="00313967">
              <w:rPr>
                <w:rFonts w:eastAsia="Calibri" w:cstheme="minorHAnsi"/>
                <w:color w:val="000000" w:themeColor="text1"/>
                <w:lang w:val="de-DE"/>
              </w:rPr>
              <w:t xml:space="preserve">Gesetzliche Verankerung der </w:t>
            </w:r>
            <w:r w:rsidRPr="00313967">
              <w:rPr>
                <w:rFonts w:eastAsia="Calibri" w:cstheme="minorHAnsi"/>
                <w:b/>
                <w:color w:val="000000" w:themeColor="text1"/>
                <w:lang w:val="de-DE"/>
              </w:rPr>
              <w:t xml:space="preserve">extraterritorialen </w:t>
            </w:r>
            <w:r>
              <w:rPr>
                <w:rFonts w:eastAsia="Calibri" w:cstheme="minorHAnsi"/>
                <w:b/>
                <w:color w:val="000000" w:themeColor="text1"/>
                <w:lang w:val="de-DE"/>
              </w:rPr>
              <w:t>Gerichtsbarkeit</w:t>
            </w:r>
            <w:r w:rsidRPr="00313967">
              <w:rPr>
                <w:rFonts w:eastAsia="Calibri" w:cstheme="minorHAnsi"/>
                <w:color w:val="000000" w:themeColor="text1"/>
                <w:lang w:val="de-DE"/>
              </w:rPr>
              <w:t xml:space="preserve"> </w:t>
            </w:r>
            <w:r w:rsidR="00BA1863">
              <w:rPr>
                <w:rFonts w:eastAsia="Calibri" w:cstheme="minorHAnsi"/>
                <w:color w:val="000000" w:themeColor="text1"/>
                <w:lang w:val="de-DE"/>
              </w:rPr>
              <w:t>(</w:t>
            </w:r>
            <w:r w:rsidRPr="00313967">
              <w:rPr>
                <w:rFonts w:eastAsia="Calibri" w:cstheme="minorHAnsi"/>
                <w:color w:val="000000" w:themeColor="text1"/>
                <w:lang w:val="de-DE"/>
              </w:rPr>
              <w:t>Artikel 4 OPSC</w:t>
            </w:r>
            <w:r w:rsidR="00BA1863">
              <w:rPr>
                <w:rFonts w:eastAsia="Calibri" w:cstheme="minorHAnsi"/>
                <w:color w:val="000000" w:themeColor="text1"/>
                <w:lang w:val="de-DE"/>
              </w:rPr>
              <w:t>)</w:t>
            </w:r>
            <w:r w:rsidRPr="00313967">
              <w:rPr>
                <w:rFonts w:eastAsia="Calibri" w:cstheme="minorHAnsi"/>
                <w:color w:val="000000" w:themeColor="text1"/>
                <w:lang w:val="de-DE"/>
              </w:rPr>
              <w:t xml:space="preserve"> für alle Straftaten der sexuellen Ausbeutung von Kindern, einschließlich solcher, die im </w:t>
            </w:r>
            <w:r w:rsidR="00DE36F5">
              <w:rPr>
                <w:rFonts w:eastAsia="Calibri" w:cstheme="minorHAnsi"/>
                <w:color w:val="000000" w:themeColor="text1"/>
                <w:lang w:val="de-DE"/>
              </w:rPr>
              <w:t xml:space="preserve">digitalen Raum </w:t>
            </w:r>
            <w:r w:rsidRPr="00313967">
              <w:rPr>
                <w:rFonts w:eastAsia="Calibri" w:cstheme="minorHAnsi"/>
                <w:color w:val="000000" w:themeColor="text1"/>
                <w:lang w:val="de-DE"/>
              </w:rPr>
              <w:t>begangen werden.</w:t>
            </w:r>
          </w:p>
        </w:tc>
        <w:tc>
          <w:tcPr>
            <w:tcW w:w="1701" w:type="dxa"/>
          </w:tcPr>
          <w:p w14:paraId="06ADA7B1" w14:textId="0D1861E9" w:rsidR="001C2BA0" w:rsidRPr="009367F4" w:rsidRDefault="00C55A34" w:rsidP="001C2BA0">
            <w:pPr>
              <w:rPr>
                <w:rFonts w:ascii="Calibri" w:hAnsi="Calibri" w:cs="Calibri"/>
                <w:color w:val="000000" w:themeColor="text1"/>
                <w:lang w:val="de-DE"/>
              </w:rPr>
            </w:pPr>
            <w:r>
              <w:rPr>
                <w:rFonts w:ascii="Calibri" w:hAnsi="Calibri" w:cs="Calibri"/>
                <w:color w:val="000000" w:themeColor="text1"/>
                <w:lang w:val="de-DE"/>
              </w:rPr>
              <w:t>Teilweise</w:t>
            </w:r>
          </w:p>
        </w:tc>
        <w:tc>
          <w:tcPr>
            <w:tcW w:w="5523" w:type="dxa"/>
          </w:tcPr>
          <w:p w14:paraId="5C298A12" w14:textId="359D54BC" w:rsidR="001E635F" w:rsidRPr="00C77207" w:rsidRDefault="0022034E" w:rsidP="008543B6">
            <w:pPr>
              <w:rPr>
                <w:rFonts w:cstheme="minorHAnsi"/>
                <w:color w:val="000000" w:themeColor="text1"/>
                <w:lang w:val="de-DE"/>
              </w:rPr>
            </w:pPr>
            <w:r w:rsidRPr="00C77207">
              <w:rPr>
                <w:rFonts w:cstheme="minorHAnsi"/>
                <w:color w:val="000000" w:themeColor="text1"/>
                <w:lang w:val="de-DE"/>
              </w:rPr>
              <w:t>Nach §§</w:t>
            </w:r>
            <w:r w:rsidR="00FA6798" w:rsidRPr="00C77207">
              <w:rPr>
                <w:rFonts w:cstheme="minorHAnsi"/>
                <w:color w:val="000000" w:themeColor="text1"/>
                <w:lang w:val="de-DE"/>
              </w:rPr>
              <w:t xml:space="preserve"> </w:t>
            </w:r>
            <w:r w:rsidRPr="00C77207">
              <w:rPr>
                <w:rFonts w:cstheme="minorHAnsi"/>
                <w:color w:val="000000" w:themeColor="text1"/>
                <w:lang w:val="de-DE"/>
              </w:rPr>
              <w:t>3, 4 StGB gilt das Territorialitätsprinzip, wonach deutsches Strafrecht für alle Taten gilt, die im Inland oder auf deutschen Schiffen und Luftfahrzeugen begangen wurden, unabhängig von der Nationalität von Täter</w:t>
            </w:r>
            <w:r w:rsidR="001B4F4F">
              <w:rPr>
                <w:rStyle w:val="FootnoteReference"/>
                <w:rFonts w:cstheme="minorHAnsi"/>
                <w:color w:val="000000" w:themeColor="text1"/>
                <w:lang w:val="de-DE"/>
              </w:rPr>
              <w:footnoteReference w:id="2"/>
            </w:r>
            <w:r w:rsidR="000F2DCA">
              <w:rPr>
                <w:rFonts w:cstheme="minorHAnsi"/>
                <w:color w:val="000000" w:themeColor="text1"/>
                <w:lang w:val="de-DE"/>
              </w:rPr>
              <w:t xml:space="preserve"> </w:t>
            </w:r>
            <w:r w:rsidRPr="00C77207">
              <w:rPr>
                <w:rFonts w:cstheme="minorHAnsi"/>
                <w:color w:val="000000" w:themeColor="text1"/>
                <w:lang w:val="de-DE"/>
              </w:rPr>
              <w:t>oder Opfer.</w:t>
            </w:r>
          </w:p>
          <w:p w14:paraId="0F149C29" w14:textId="77777777" w:rsidR="0022034E" w:rsidRPr="00C77207" w:rsidRDefault="0022034E" w:rsidP="008543B6">
            <w:pPr>
              <w:rPr>
                <w:rFonts w:cstheme="minorHAnsi"/>
                <w:color w:val="000000" w:themeColor="text1"/>
                <w:lang w:val="de-DE"/>
              </w:rPr>
            </w:pPr>
          </w:p>
          <w:p w14:paraId="4D01D2C4" w14:textId="1F05F957" w:rsidR="0022034E" w:rsidRPr="00C77207" w:rsidRDefault="0022034E" w:rsidP="008543B6">
            <w:pPr>
              <w:rPr>
                <w:rFonts w:cstheme="minorHAnsi"/>
                <w:color w:val="000000" w:themeColor="text1"/>
                <w:lang w:val="de-DE"/>
              </w:rPr>
            </w:pPr>
            <w:r w:rsidRPr="00C77207">
              <w:rPr>
                <w:rFonts w:cstheme="minorHAnsi"/>
                <w:color w:val="000000" w:themeColor="text1"/>
                <w:lang w:val="de-DE"/>
              </w:rPr>
              <w:t xml:space="preserve">Wurde die Tat im Ausland begangen, ist zwischen den verschiedenen Tatbeständen, die Taten nach Art. 3 OPSC </w:t>
            </w:r>
            <w:r w:rsidR="00FC536F" w:rsidRPr="00C77207">
              <w:rPr>
                <w:rFonts w:cstheme="minorHAnsi"/>
                <w:color w:val="000000" w:themeColor="text1"/>
                <w:lang w:val="de-DE"/>
              </w:rPr>
              <w:t>betreffen</w:t>
            </w:r>
            <w:r w:rsidR="00ED4B1A" w:rsidRPr="00C77207">
              <w:rPr>
                <w:rFonts w:cstheme="minorHAnsi"/>
                <w:color w:val="000000" w:themeColor="text1"/>
                <w:lang w:val="de-DE"/>
              </w:rPr>
              <w:t>,</w:t>
            </w:r>
            <w:r w:rsidRPr="00C77207">
              <w:rPr>
                <w:rFonts w:cstheme="minorHAnsi"/>
                <w:color w:val="000000" w:themeColor="text1"/>
                <w:lang w:val="de-DE"/>
              </w:rPr>
              <w:t xml:space="preserve"> zu differenzieren.</w:t>
            </w:r>
          </w:p>
          <w:p w14:paraId="38730444" w14:textId="77777777" w:rsidR="004501EE" w:rsidRPr="00C77207" w:rsidRDefault="004501EE" w:rsidP="008543B6">
            <w:pPr>
              <w:rPr>
                <w:rFonts w:cstheme="minorHAnsi"/>
                <w:color w:val="000000" w:themeColor="text1"/>
                <w:lang w:val="de-DE"/>
              </w:rPr>
            </w:pPr>
          </w:p>
          <w:p w14:paraId="42F07745" w14:textId="5A87E3EE" w:rsidR="004501EE" w:rsidRPr="00C77207" w:rsidRDefault="004501EE" w:rsidP="008543B6">
            <w:pPr>
              <w:rPr>
                <w:rFonts w:cstheme="minorHAnsi"/>
                <w:color w:val="000000" w:themeColor="text1"/>
                <w:lang w:val="de-DE"/>
              </w:rPr>
            </w:pPr>
            <w:r w:rsidRPr="00C77207">
              <w:rPr>
                <w:rFonts w:cstheme="minorHAnsi"/>
                <w:color w:val="000000" w:themeColor="text1"/>
                <w:lang w:val="de-DE"/>
              </w:rPr>
              <w:t>Nach §</w:t>
            </w:r>
            <w:r w:rsidR="00CF6023" w:rsidRPr="00C77207">
              <w:rPr>
                <w:rFonts w:cstheme="minorHAnsi"/>
                <w:color w:val="000000" w:themeColor="text1"/>
                <w:lang w:val="de-DE"/>
              </w:rPr>
              <w:t xml:space="preserve"> </w:t>
            </w:r>
            <w:r w:rsidRPr="00C77207">
              <w:rPr>
                <w:rFonts w:cstheme="minorHAnsi"/>
                <w:color w:val="000000" w:themeColor="text1"/>
                <w:lang w:val="de-DE"/>
              </w:rPr>
              <w:t>6 Nr.</w:t>
            </w:r>
            <w:r w:rsidR="00B1701C" w:rsidRPr="00C77207">
              <w:rPr>
                <w:rFonts w:cstheme="minorHAnsi"/>
                <w:color w:val="000000" w:themeColor="text1"/>
                <w:lang w:val="de-DE"/>
              </w:rPr>
              <w:t xml:space="preserve"> </w:t>
            </w:r>
            <w:r w:rsidRPr="00C77207">
              <w:rPr>
                <w:rFonts w:cstheme="minorHAnsi"/>
                <w:color w:val="000000" w:themeColor="text1"/>
                <w:lang w:val="de-DE"/>
              </w:rPr>
              <w:t>4, 6 StGB gilt das deutsche Strafrecht, unabhängig vom Recht des Tatorts und ohne täter- oder opferbezogene Einschränkungen für Menschenhandel gem. §</w:t>
            </w:r>
            <w:r w:rsidR="00CF6023" w:rsidRPr="00C77207">
              <w:rPr>
                <w:rFonts w:cstheme="minorHAnsi"/>
                <w:color w:val="000000" w:themeColor="text1"/>
                <w:lang w:val="de-DE"/>
              </w:rPr>
              <w:t xml:space="preserve"> </w:t>
            </w:r>
            <w:r w:rsidRPr="00C77207">
              <w:rPr>
                <w:rFonts w:cstheme="minorHAnsi"/>
                <w:color w:val="000000" w:themeColor="text1"/>
                <w:lang w:val="de-DE"/>
              </w:rPr>
              <w:t>232</w:t>
            </w:r>
            <w:r w:rsidR="00FC536F" w:rsidRPr="00C77207">
              <w:rPr>
                <w:rFonts w:cstheme="minorHAnsi"/>
                <w:color w:val="000000" w:themeColor="text1"/>
                <w:lang w:val="de-DE"/>
              </w:rPr>
              <w:t xml:space="preserve"> StGB</w:t>
            </w:r>
            <w:r w:rsidRPr="00C77207">
              <w:rPr>
                <w:rFonts w:cstheme="minorHAnsi"/>
                <w:color w:val="000000" w:themeColor="text1"/>
                <w:lang w:val="de-DE"/>
              </w:rPr>
              <w:t xml:space="preserve"> sowie für die Verbreitung kinder- und jugendpornographischer Inhalte gem. §§</w:t>
            </w:r>
            <w:r w:rsidR="00CF6023" w:rsidRPr="00C77207">
              <w:rPr>
                <w:rFonts w:cstheme="minorHAnsi"/>
                <w:color w:val="000000" w:themeColor="text1"/>
                <w:lang w:val="de-DE"/>
              </w:rPr>
              <w:t xml:space="preserve"> </w:t>
            </w:r>
            <w:r w:rsidRPr="00C77207">
              <w:rPr>
                <w:rFonts w:cstheme="minorHAnsi"/>
                <w:color w:val="000000" w:themeColor="text1"/>
                <w:lang w:val="de-DE"/>
              </w:rPr>
              <w:t xml:space="preserve">184a, 184b </w:t>
            </w:r>
            <w:r w:rsidR="00B1701C" w:rsidRPr="00C77207">
              <w:rPr>
                <w:rFonts w:cstheme="minorHAnsi"/>
                <w:color w:val="000000" w:themeColor="text1"/>
                <w:lang w:val="de-DE"/>
              </w:rPr>
              <w:t>Abs. 1</w:t>
            </w:r>
            <w:r w:rsidRPr="00C77207">
              <w:rPr>
                <w:rFonts w:cstheme="minorHAnsi"/>
                <w:color w:val="000000" w:themeColor="text1"/>
                <w:lang w:val="de-DE"/>
              </w:rPr>
              <w:t xml:space="preserve">, </w:t>
            </w:r>
            <w:r w:rsidR="00B1701C" w:rsidRPr="00C77207">
              <w:rPr>
                <w:rFonts w:cstheme="minorHAnsi"/>
                <w:color w:val="000000" w:themeColor="text1"/>
                <w:lang w:val="de-DE"/>
              </w:rPr>
              <w:t>Abs. 2</w:t>
            </w:r>
            <w:r w:rsidRPr="00C77207">
              <w:rPr>
                <w:rFonts w:cstheme="minorHAnsi"/>
                <w:color w:val="000000" w:themeColor="text1"/>
                <w:lang w:val="de-DE"/>
              </w:rPr>
              <w:t xml:space="preserve">, 184c </w:t>
            </w:r>
            <w:r w:rsidR="00B1701C" w:rsidRPr="00C77207">
              <w:rPr>
                <w:rFonts w:cstheme="minorHAnsi"/>
                <w:color w:val="000000" w:themeColor="text1"/>
                <w:lang w:val="de-DE"/>
              </w:rPr>
              <w:t>Abs. 1</w:t>
            </w:r>
            <w:r w:rsidRPr="00C77207">
              <w:rPr>
                <w:rFonts w:cstheme="minorHAnsi"/>
                <w:color w:val="000000" w:themeColor="text1"/>
                <w:lang w:val="de-DE"/>
              </w:rPr>
              <w:t xml:space="preserve">, </w:t>
            </w:r>
            <w:r w:rsidR="00B1701C" w:rsidRPr="00C77207">
              <w:rPr>
                <w:rFonts w:cstheme="minorHAnsi"/>
                <w:color w:val="000000" w:themeColor="text1"/>
                <w:lang w:val="de-DE"/>
              </w:rPr>
              <w:t xml:space="preserve">Abs. 2 </w:t>
            </w:r>
            <w:r w:rsidR="00FC536F" w:rsidRPr="00C77207">
              <w:rPr>
                <w:rFonts w:cstheme="minorHAnsi"/>
                <w:color w:val="000000" w:themeColor="text1"/>
                <w:lang w:val="de-DE"/>
              </w:rPr>
              <w:t>StGB</w:t>
            </w:r>
            <w:r w:rsidRPr="00C77207">
              <w:rPr>
                <w:rFonts w:cstheme="minorHAnsi"/>
                <w:color w:val="000000" w:themeColor="text1"/>
                <w:lang w:val="de-DE"/>
              </w:rPr>
              <w:t xml:space="preserve">. Dabei sind weder </w:t>
            </w:r>
            <w:r w:rsidR="00FC536F" w:rsidRPr="00C77207">
              <w:rPr>
                <w:rFonts w:cstheme="minorHAnsi"/>
                <w:color w:val="000000" w:themeColor="text1"/>
                <w:lang w:val="de-DE"/>
              </w:rPr>
              <w:t xml:space="preserve">der </w:t>
            </w:r>
            <w:r w:rsidRPr="00C77207">
              <w:rPr>
                <w:rFonts w:cstheme="minorHAnsi"/>
                <w:color w:val="000000" w:themeColor="text1"/>
                <w:lang w:val="de-DE"/>
              </w:rPr>
              <w:t>Wohnsitz noch die Staatsangehörigkeit des Täters relevant.</w:t>
            </w:r>
            <w:r w:rsidRPr="00C77207">
              <w:rPr>
                <w:rStyle w:val="FootnoteReference"/>
                <w:rFonts w:cstheme="minorHAnsi"/>
                <w:color w:val="000000" w:themeColor="text1"/>
                <w:lang w:val="de-DE"/>
              </w:rPr>
              <w:footnoteReference w:id="3"/>
            </w:r>
          </w:p>
          <w:p w14:paraId="4408590C" w14:textId="77777777" w:rsidR="005551F9" w:rsidRPr="00C77207" w:rsidRDefault="005551F9" w:rsidP="008543B6">
            <w:pPr>
              <w:rPr>
                <w:rFonts w:cstheme="minorHAnsi"/>
                <w:color w:val="000000" w:themeColor="text1"/>
                <w:lang w:val="de-DE"/>
              </w:rPr>
            </w:pPr>
          </w:p>
          <w:p w14:paraId="5BB9E957" w14:textId="40C76BD8" w:rsidR="005551F9" w:rsidRPr="00C77207" w:rsidRDefault="005551F9" w:rsidP="008543B6">
            <w:pPr>
              <w:rPr>
                <w:rFonts w:cstheme="minorHAnsi"/>
                <w:color w:val="000000" w:themeColor="text1"/>
                <w:lang w:val="de-DE"/>
              </w:rPr>
            </w:pPr>
            <w:r w:rsidRPr="00C77207">
              <w:rPr>
                <w:rFonts w:cstheme="minorHAnsi"/>
                <w:color w:val="000000" w:themeColor="text1"/>
                <w:lang w:val="de-DE"/>
              </w:rPr>
              <w:t>Nach §</w:t>
            </w:r>
            <w:r w:rsidR="00CF6023" w:rsidRPr="00C77207">
              <w:rPr>
                <w:rFonts w:cstheme="minorHAnsi"/>
                <w:color w:val="000000" w:themeColor="text1"/>
                <w:lang w:val="de-DE"/>
              </w:rPr>
              <w:t xml:space="preserve"> </w:t>
            </w:r>
            <w:r w:rsidRPr="00C77207">
              <w:rPr>
                <w:rFonts w:cstheme="minorHAnsi"/>
                <w:color w:val="000000" w:themeColor="text1"/>
                <w:lang w:val="de-DE"/>
              </w:rPr>
              <w:t>5 Nr.</w:t>
            </w:r>
            <w:r w:rsidR="00B1701C" w:rsidRPr="00C77207">
              <w:rPr>
                <w:rFonts w:cstheme="minorHAnsi"/>
                <w:color w:val="000000" w:themeColor="text1"/>
                <w:lang w:val="de-DE"/>
              </w:rPr>
              <w:t xml:space="preserve"> </w:t>
            </w:r>
            <w:r w:rsidRPr="00C77207">
              <w:rPr>
                <w:rFonts w:cstheme="minorHAnsi"/>
                <w:color w:val="000000" w:themeColor="text1"/>
                <w:lang w:val="de-DE"/>
              </w:rPr>
              <w:t>8 StGB gilt das deutsche Strafrecht auch für den sexuellen Missbrauch von Kindern und Jugendlichen gem. §§</w:t>
            </w:r>
            <w:r w:rsidR="00CF6023" w:rsidRPr="00C77207">
              <w:rPr>
                <w:rFonts w:cstheme="minorHAnsi"/>
                <w:color w:val="000000" w:themeColor="text1"/>
                <w:lang w:val="de-DE"/>
              </w:rPr>
              <w:t xml:space="preserve"> </w:t>
            </w:r>
            <w:r w:rsidRPr="00C77207">
              <w:rPr>
                <w:rFonts w:cstheme="minorHAnsi"/>
                <w:color w:val="000000" w:themeColor="text1"/>
                <w:lang w:val="de-DE"/>
              </w:rPr>
              <w:t>176-178, 182</w:t>
            </w:r>
            <w:r w:rsidR="00B83595" w:rsidRPr="00C77207">
              <w:rPr>
                <w:rFonts w:cstheme="minorHAnsi"/>
                <w:color w:val="000000" w:themeColor="text1"/>
                <w:lang w:val="de-DE"/>
              </w:rPr>
              <w:t xml:space="preserve"> StGB</w:t>
            </w:r>
            <w:r w:rsidRPr="00C77207">
              <w:rPr>
                <w:rFonts w:cstheme="minorHAnsi"/>
                <w:color w:val="000000" w:themeColor="text1"/>
                <w:lang w:val="de-DE"/>
              </w:rPr>
              <w:t>, wenn der Täter zur Zeit der Tat Deutscher ist.</w:t>
            </w:r>
            <w:r w:rsidR="00830937" w:rsidRPr="00C77207">
              <w:rPr>
                <w:rFonts w:cstheme="minorHAnsi"/>
                <w:color w:val="000000" w:themeColor="text1"/>
                <w:lang w:val="de-DE"/>
              </w:rPr>
              <w:t xml:space="preserve"> Zwar erwähnt §</w:t>
            </w:r>
            <w:r w:rsidR="00CF6023" w:rsidRPr="00C77207">
              <w:rPr>
                <w:rFonts w:cstheme="minorHAnsi"/>
                <w:color w:val="000000" w:themeColor="text1"/>
                <w:lang w:val="de-DE"/>
              </w:rPr>
              <w:t xml:space="preserve"> </w:t>
            </w:r>
            <w:r w:rsidR="00830937" w:rsidRPr="00C77207">
              <w:rPr>
                <w:rFonts w:cstheme="minorHAnsi"/>
                <w:color w:val="000000" w:themeColor="text1"/>
                <w:lang w:val="de-DE"/>
              </w:rPr>
              <w:t xml:space="preserve">5 StGB ausdrücklich nur </w:t>
            </w:r>
            <w:r w:rsidR="00ED4B1A" w:rsidRPr="00C77207">
              <w:rPr>
                <w:rFonts w:cstheme="minorHAnsi"/>
                <w:color w:val="000000" w:themeColor="text1"/>
                <w:lang w:val="de-DE"/>
              </w:rPr>
              <w:t>den</w:t>
            </w:r>
            <w:r w:rsidR="00830937" w:rsidRPr="00C77207">
              <w:rPr>
                <w:rFonts w:cstheme="minorHAnsi"/>
                <w:color w:val="000000" w:themeColor="text1"/>
                <w:lang w:val="de-DE"/>
              </w:rPr>
              <w:t xml:space="preserve"> Täter. Dies umfasst in diesem Fall aber auch die Strafbarkeit von Teilnehmern wegen Beihilfe oder </w:t>
            </w:r>
            <w:r w:rsidR="00830937" w:rsidRPr="00C77207">
              <w:rPr>
                <w:rFonts w:cstheme="minorHAnsi"/>
                <w:color w:val="000000" w:themeColor="text1"/>
                <w:lang w:val="de-DE"/>
              </w:rPr>
              <w:lastRenderedPageBreak/>
              <w:t>Anstiftung gem. §§</w:t>
            </w:r>
            <w:r w:rsidR="00CF6023" w:rsidRPr="00C77207">
              <w:rPr>
                <w:rFonts w:cstheme="minorHAnsi"/>
                <w:color w:val="000000" w:themeColor="text1"/>
                <w:lang w:val="de-DE"/>
              </w:rPr>
              <w:t xml:space="preserve"> </w:t>
            </w:r>
            <w:r w:rsidR="00830937" w:rsidRPr="00C77207">
              <w:rPr>
                <w:rFonts w:cstheme="minorHAnsi"/>
                <w:color w:val="000000" w:themeColor="text1"/>
                <w:lang w:val="de-DE"/>
              </w:rPr>
              <w:t>26, 27 StGB.</w:t>
            </w:r>
            <w:r w:rsidR="00830937" w:rsidRPr="00C77207">
              <w:rPr>
                <w:rStyle w:val="FootnoteReference"/>
                <w:rFonts w:cstheme="minorHAnsi"/>
                <w:color w:val="000000" w:themeColor="text1"/>
                <w:lang w:val="de-DE"/>
              </w:rPr>
              <w:footnoteReference w:id="4"/>
            </w:r>
            <w:r w:rsidR="00F05F3E" w:rsidRPr="00C77207">
              <w:rPr>
                <w:rFonts w:cstheme="minorHAnsi"/>
                <w:color w:val="000000" w:themeColor="text1"/>
                <w:lang w:val="de-DE"/>
              </w:rPr>
              <w:t xml:space="preserve"> Dies ist insbesondere bei der Begehung von Straftaten im Online-Bereich relevant, da etwa bereits durch Anregung in E-Mails, im Rahmen eines Live-Chats bei sexuellem Missbrauch von Kindern zusehen zu wollen, als versuchte Anstiftung oder psychische Beihilfe eingeordnet werden kann.</w:t>
            </w:r>
            <w:r w:rsidR="00F05F3E" w:rsidRPr="00C77207">
              <w:rPr>
                <w:rStyle w:val="FootnoteReference"/>
                <w:rFonts w:cstheme="minorHAnsi"/>
                <w:color w:val="000000" w:themeColor="text1"/>
                <w:lang w:val="de-DE"/>
              </w:rPr>
              <w:footnoteReference w:id="5"/>
            </w:r>
            <w:r w:rsidR="00F05F3E" w:rsidRPr="00C77207">
              <w:rPr>
                <w:rFonts w:cstheme="minorHAnsi"/>
                <w:color w:val="000000" w:themeColor="text1"/>
                <w:lang w:val="de-DE"/>
              </w:rPr>
              <w:t xml:space="preserve"> Auch das Beobachten </w:t>
            </w:r>
            <w:r w:rsidR="00B83595" w:rsidRPr="00C77207">
              <w:rPr>
                <w:rFonts w:cstheme="minorHAnsi"/>
                <w:color w:val="000000" w:themeColor="text1"/>
                <w:lang w:val="de-DE"/>
              </w:rPr>
              <w:t>und</w:t>
            </w:r>
            <w:r w:rsidR="00F05F3E" w:rsidRPr="00C77207">
              <w:rPr>
                <w:rFonts w:cstheme="minorHAnsi"/>
                <w:color w:val="000000" w:themeColor="text1"/>
                <w:lang w:val="de-DE"/>
              </w:rPr>
              <w:t xml:space="preserve"> bestärkendes Kommentieren kann ausreichend sein.</w:t>
            </w:r>
            <w:r w:rsidR="00F05F3E" w:rsidRPr="00C77207">
              <w:rPr>
                <w:rStyle w:val="FootnoteReference"/>
                <w:rFonts w:cstheme="minorHAnsi"/>
                <w:color w:val="000000" w:themeColor="text1"/>
                <w:lang w:val="de-DE"/>
              </w:rPr>
              <w:footnoteReference w:id="6"/>
            </w:r>
          </w:p>
          <w:p w14:paraId="6A6D757A" w14:textId="77777777" w:rsidR="005551F9" w:rsidRPr="00C77207" w:rsidRDefault="005551F9" w:rsidP="008543B6">
            <w:pPr>
              <w:rPr>
                <w:rFonts w:cstheme="minorHAnsi"/>
                <w:color w:val="000000" w:themeColor="text1"/>
                <w:lang w:val="de-DE"/>
              </w:rPr>
            </w:pPr>
          </w:p>
          <w:p w14:paraId="66AA5CD1" w14:textId="77777777" w:rsidR="00FC536F" w:rsidRPr="00C77207" w:rsidRDefault="00830937" w:rsidP="008543B6">
            <w:pPr>
              <w:rPr>
                <w:rFonts w:cstheme="minorHAnsi"/>
                <w:color w:val="000000" w:themeColor="text1"/>
                <w:lang w:val="de-DE"/>
              </w:rPr>
            </w:pPr>
            <w:r w:rsidRPr="00C77207">
              <w:rPr>
                <w:rFonts w:cstheme="minorHAnsi"/>
                <w:color w:val="000000" w:themeColor="text1"/>
                <w:lang w:val="de-DE"/>
              </w:rPr>
              <w:t>Für die</w:t>
            </w:r>
            <w:r w:rsidR="005551F9" w:rsidRPr="00C77207">
              <w:rPr>
                <w:rFonts w:cstheme="minorHAnsi"/>
                <w:color w:val="000000" w:themeColor="text1"/>
                <w:lang w:val="de-DE"/>
              </w:rPr>
              <w:t xml:space="preserve"> übrigen</w:t>
            </w:r>
            <w:r w:rsidRPr="00C77207">
              <w:rPr>
                <w:rFonts w:cstheme="minorHAnsi"/>
                <w:color w:val="000000" w:themeColor="text1"/>
                <w:lang w:val="de-DE"/>
              </w:rPr>
              <w:t xml:space="preserve"> relevanten</w:t>
            </w:r>
            <w:r w:rsidR="005551F9" w:rsidRPr="00C77207">
              <w:rPr>
                <w:rFonts w:cstheme="minorHAnsi"/>
                <w:color w:val="000000" w:themeColor="text1"/>
                <w:lang w:val="de-DE"/>
              </w:rPr>
              <w:t xml:space="preserve"> Konstellationen, namentlich die Strafbarkeit</w:t>
            </w:r>
          </w:p>
          <w:p w14:paraId="0AE14443" w14:textId="2172B164" w:rsidR="00FC536F" w:rsidRPr="00C77207" w:rsidRDefault="005551F9" w:rsidP="008543B6">
            <w:pPr>
              <w:pStyle w:val="ListParagraph"/>
              <w:numPr>
                <w:ilvl w:val="0"/>
                <w:numId w:val="6"/>
              </w:numPr>
              <w:spacing w:line="240" w:lineRule="auto"/>
              <w:rPr>
                <w:rFonts w:asciiTheme="minorHAnsi" w:hAnsiTheme="minorHAnsi" w:cstheme="minorHAnsi"/>
                <w:color w:val="000000" w:themeColor="text1"/>
                <w:szCs w:val="22"/>
                <w:lang w:val="de-DE"/>
              </w:rPr>
            </w:pPr>
            <w:r w:rsidRPr="00C77207">
              <w:rPr>
                <w:rFonts w:asciiTheme="minorHAnsi" w:hAnsiTheme="minorHAnsi" w:cstheme="minorHAnsi"/>
                <w:color w:val="000000" w:themeColor="text1"/>
                <w:szCs w:val="22"/>
                <w:lang w:val="de-DE"/>
              </w:rPr>
              <w:t>wegen Zwangsprostitution gem. §</w:t>
            </w:r>
            <w:r w:rsidR="00CF6023" w:rsidRPr="00C77207">
              <w:rPr>
                <w:rFonts w:asciiTheme="minorHAnsi" w:hAnsiTheme="minorHAnsi" w:cstheme="minorHAnsi"/>
                <w:color w:val="000000" w:themeColor="text1"/>
                <w:szCs w:val="22"/>
                <w:lang w:val="de-DE"/>
              </w:rPr>
              <w:t xml:space="preserve"> </w:t>
            </w:r>
            <w:r w:rsidRPr="00C77207">
              <w:rPr>
                <w:rFonts w:asciiTheme="minorHAnsi" w:hAnsiTheme="minorHAnsi" w:cstheme="minorHAnsi"/>
                <w:color w:val="000000" w:themeColor="text1"/>
                <w:szCs w:val="22"/>
                <w:lang w:val="de-DE"/>
              </w:rPr>
              <w:t xml:space="preserve">232a StGB, </w:t>
            </w:r>
          </w:p>
          <w:p w14:paraId="67C319C7" w14:textId="728996B7" w:rsidR="00FC536F" w:rsidRPr="00C77207" w:rsidRDefault="005551F9" w:rsidP="008543B6">
            <w:pPr>
              <w:pStyle w:val="ListParagraph"/>
              <w:numPr>
                <w:ilvl w:val="0"/>
                <w:numId w:val="6"/>
              </w:numPr>
              <w:spacing w:line="240" w:lineRule="auto"/>
              <w:rPr>
                <w:rFonts w:asciiTheme="minorHAnsi" w:hAnsiTheme="minorHAnsi" w:cstheme="minorHAnsi"/>
                <w:color w:val="000000" w:themeColor="text1"/>
                <w:szCs w:val="22"/>
                <w:lang w:val="de-DE"/>
              </w:rPr>
            </w:pPr>
            <w:r w:rsidRPr="00C77207">
              <w:rPr>
                <w:rFonts w:asciiTheme="minorHAnsi" w:hAnsiTheme="minorHAnsi" w:cstheme="minorHAnsi"/>
                <w:color w:val="000000" w:themeColor="text1"/>
                <w:szCs w:val="22"/>
                <w:lang w:val="de-DE"/>
              </w:rPr>
              <w:t>wegen Kinderhandel gem. §</w:t>
            </w:r>
            <w:r w:rsidR="00CF6023" w:rsidRPr="00C77207">
              <w:rPr>
                <w:rFonts w:asciiTheme="minorHAnsi" w:hAnsiTheme="minorHAnsi" w:cstheme="minorHAnsi"/>
                <w:color w:val="000000" w:themeColor="text1"/>
                <w:szCs w:val="22"/>
                <w:lang w:val="de-DE"/>
              </w:rPr>
              <w:t xml:space="preserve"> </w:t>
            </w:r>
            <w:r w:rsidRPr="00C77207">
              <w:rPr>
                <w:rFonts w:asciiTheme="minorHAnsi" w:hAnsiTheme="minorHAnsi" w:cstheme="minorHAnsi"/>
                <w:color w:val="000000" w:themeColor="text1"/>
                <w:szCs w:val="22"/>
                <w:lang w:val="de-DE"/>
              </w:rPr>
              <w:t xml:space="preserve">236 StGB, </w:t>
            </w:r>
          </w:p>
          <w:p w14:paraId="7B4A5E27" w14:textId="62033977" w:rsidR="00FC536F" w:rsidRPr="00C77207" w:rsidRDefault="005551F9" w:rsidP="008543B6">
            <w:pPr>
              <w:pStyle w:val="ListParagraph"/>
              <w:numPr>
                <w:ilvl w:val="0"/>
                <w:numId w:val="6"/>
              </w:numPr>
              <w:spacing w:line="240" w:lineRule="auto"/>
              <w:rPr>
                <w:rFonts w:asciiTheme="minorHAnsi" w:hAnsiTheme="minorHAnsi" w:cstheme="minorHAnsi"/>
                <w:color w:val="000000" w:themeColor="text1"/>
                <w:szCs w:val="22"/>
                <w:lang w:val="de-DE"/>
              </w:rPr>
            </w:pPr>
            <w:r w:rsidRPr="00C77207">
              <w:rPr>
                <w:rFonts w:asciiTheme="minorHAnsi" w:hAnsiTheme="minorHAnsi" w:cstheme="minorHAnsi"/>
                <w:color w:val="000000" w:themeColor="text1"/>
                <w:szCs w:val="22"/>
                <w:lang w:val="de-DE"/>
              </w:rPr>
              <w:t>wegen sexuellen Missbrauchs von Kindern und Jugendlichen gem. §§</w:t>
            </w:r>
            <w:r w:rsidR="00CF6023" w:rsidRPr="00C77207">
              <w:rPr>
                <w:rFonts w:asciiTheme="minorHAnsi" w:hAnsiTheme="minorHAnsi" w:cstheme="minorHAnsi"/>
                <w:color w:val="000000" w:themeColor="text1"/>
                <w:szCs w:val="22"/>
                <w:lang w:val="de-DE"/>
              </w:rPr>
              <w:t xml:space="preserve"> </w:t>
            </w:r>
            <w:r w:rsidRPr="00C77207">
              <w:rPr>
                <w:rFonts w:asciiTheme="minorHAnsi" w:hAnsiTheme="minorHAnsi" w:cstheme="minorHAnsi"/>
                <w:color w:val="000000" w:themeColor="text1"/>
                <w:szCs w:val="22"/>
                <w:lang w:val="de-DE"/>
              </w:rPr>
              <w:t xml:space="preserve">176 ff., 182 StGB, wenn </w:t>
            </w:r>
            <w:r w:rsidR="000926BE" w:rsidRPr="00C77207">
              <w:rPr>
                <w:rFonts w:asciiTheme="minorHAnsi" w:hAnsiTheme="minorHAnsi" w:cstheme="minorHAnsi"/>
                <w:color w:val="000000" w:themeColor="text1"/>
                <w:szCs w:val="22"/>
                <w:lang w:val="de-DE"/>
              </w:rPr>
              <w:t xml:space="preserve">nur </w:t>
            </w:r>
            <w:r w:rsidRPr="00C77207">
              <w:rPr>
                <w:rFonts w:asciiTheme="minorHAnsi" w:hAnsiTheme="minorHAnsi" w:cstheme="minorHAnsi"/>
                <w:color w:val="000000" w:themeColor="text1"/>
                <w:szCs w:val="22"/>
                <w:lang w:val="de-DE"/>
              </w:rPr>
              <w:t>das Opfer deutsch ist oder der Täter nur seinen Wohnsitz in Deutschland hat</w:t>
            </w:r>
            <w:r w:rsidR="00B83595" w:rsidRPr="00C77207">
              <w:rPr>
                <w:rFonts w:asciiTheme="minorHAnsi" w:hAnsiTheme="minorHAnsi" w:cstheme="minorHAnsi"/>
                <w:color w:val="000000" w:themeColor="text1"/>
                <w:szCs w:val="22"/>
                <w:lang w:val="de-DE"/>
              </w:rPr>
              <w:t>, ohne deutscher Staatsangehöriger zu sein</w:t>
            </w:r>
          </w:p>
          <w:p w14:paraId="140C916B" w14:textId="3C042969" w:rsidR="00FC536F" w:rsidRPr="00C77207" w:rsidRDefault="005551F9" w:rsidP="008543B6">
            <w:pPr>
              <w:pStyle w:val="ListParagraph"/>
              <w:numPr>
                <w:ilvl w:val="0"/>
                <w:numId w:val="6"/>
              </w:numPr>
              <w:spacing w:line="240" w:lineRule="auto"/>
              <w:rPr>
                <w:rFonts w:asciiTheme="minorHAnsi" w:hAnsiTheme="minorHAnsi" w:cstheme="minorHAnsi"/>
                <w:color w:val="000000" w:themeColor="text1"/>
                <w:szCs w:val="22"/>
                <w:lang w:val="de-DE"/>
              </w:rPr>
            </w:pPr>
            <w:r w:rsidRPr="00C77207">
              <w:rPr>
                <w:rFonts w:asciiTheme="minorHAnsi" w:hAnsiTheme="minorHAnsi" w:cstheme="minorHAnsi"/>
                <w:color w:val="000000" w:themeColor="text1"/>
                <w:szCs w:val="22"/>
                <w:lang w:val="de-DE"/>
              </w:rPr>
              <w:t xml:space="preserve">sowie </w:t>
            </w:r>
            <w:r w:rsidR="00830937" w:rsidRPr="00C77207">
              <w:rPr>
                <w:rFonts w:asciiTheme="minorHAnsi" w:hAnsiTheme="minorHAnsi" w:cstheme="minorHAnsi"/>
                <w:color w:val="000000" w:themeColor="text1"/>
                <w:szCs w:val="22"/>
                <w:lang w:val="de-DE"/>
              </w:rPr>
              <w:t>wegen</w:t>
            </w:r>
            <w:r w:rsidRPr="00C77207">
              <w:rPr>
                <w:rFonts w:asciiTheme="minorHAnsi" w:hAnsiTheme="minorHAnsi" w:cstheme="minorHAnsi"/>
                <w:color w:val="000000" w:themeColor="text1"/>
                <w:szCs w:val="22"/>
                <w:lang w:val="de-DE"/>
              </w:rPr>
              <w:t xml:space="preserve"> Besitz</w:t>
            </w:r>
            <w:r w:rsidR="00ED4B1A" w:rsidRPr="00C77207">
              <w:rPr>
                <w:rFonts w:asciiTheme="minorHAnsi" w:hAnsiTheme="minorHAnsi" w:cstheme="minorHAnsi"/>
                <w:color w:val="000000" w:themeColor="text1"/>
                <w:szCs w:val="22"/>
                <w:lang w:val="de-DE"/>
              </w:rPr>
              <w:t>es und Erwerbs</w:t>
            </w:r>
            <w:r w:rsidRPr="00C77207">
              <w:rPr>
                <w:rFonts w:asciiTheme="minorHAnsi" w:hAnsiTheme="minorHAnsi" w:cstheme="minorHAnsi"/>
                <w:color w:val="000000" w:themeColor="text1"/>
                <w:szCs w:val="22"/>
                <w:lang w:val="de-DE"/>
              </w:rPr>
              <w:t xml:space="preserve"> von Kinder- und Jugendpornographie gem. §§</w:t>
            </w:r>
            <w:r w:rsidR="00CF6023" w:rsidRPr="00C77207">
              <w:rPr>
                <w:rFonts w:asciiTheme="minorHAnsi" w:hAnsiTheme="minorHAnsi" w:cstheme="minorHAnsi"/>
                <w:color w:val="000000" w:themeColor="text1"/>
                <w:szCs w:val="22"/>
                <w:lang w:val="de-DE"/>
              </w:rPr>
              <w:t xml:space="preserve"> </w:t>
            </w:r>
            <w:r w:rsidRPr="00C77207">
              <w:rPr>
                <w:rFonts w:asciiTheme="minorHAnsi" w:hAnsiTheme="minorHAnsi" w:cstheme="minorHAnsi"/>
                <w:color w:val="000000" w:themeColor="text1"/>
                <w:szCs w:val="22"/>
                <w:lang w:val="de-DE"/>
              </w:rPr>
              <w:t xml:space="preserve">184b </w:t>
            </w:r>
            <w:r w:rsidR="00B1701C" w:rsidRPr="00C77207">
              <w:rPr>
                <w:rFonts w:asciiTheme="minorHAnsi" w:hAnsiTheme="minorHAnsi" w:cstheme="minorHAnsi"/>
                <w:color w:val="000000" w:themeColor="text1"/>
                <w:szCs w:val="22"/>
                <w:lang w:val="de-DE"/>
              </w:rPr>
              <w:t>Abs. 3</w:t>
            </w:r>
            <w:r w:rsidRPr="00C77207">
              <w:rPr>
                <w:rFonts w:asciiTheme="minorHAnsi" w:hAnsiTheme="minorHAnsi" w:cstheme="minorHAnsi"/>
                <w:color w:val="000000" w:themeColor="text1"/>
                <w:szCs w:val="22"/>
                <w:lang w:val="de-DE"/>
              </w:rPr>
              <w:t xml:space="preserve">, 184c </w:t>
            </w:r>
            <w:r w:rsidR="00B1701C" w:rsidRPr="00C77207">
              <w:rPr>
                <w:rFonts w:asciiTheme="minorHAnsi" w:hAnsiTheme="minorHAnsi" w:cstheme="minorHAnsi"/>
                <w:color w:val="000000" w:themeColor="text1"/>
                <w:szCs w:val="22"/>
                <w:lang w:val="de-DE"/>
              </w:rPr>
              <w:t>Abs. 3</w:t>
            </w:r>
            <w:r w:rsidRPr="00C77207">
              <w:rPr>
                <w:rFonts w:asciiTheme="minorHAnsi" w:hAnsiTheme="minorHAnsi" w:cstheme="minorHAnsi"/>
                <w:color w:val="000000" w:themeColor="text1"/>
                <w:szCs w:val="22"/>
                <w:lang w:val="de-DE"/>
              </w:rPr>
              <w:t xml:space="preserve"> StGB</w:t>
            </w:r>
          </w:p>
          <w:p w14:paraId="20C78B02" w14:textId="3FE97767" w:rsidR="005551F9" w:rsidRPr="00C77207" w:rsidRDefault="00830937" w:rsidP="008543B6">
            <w:pPr>
              <w:rPr>
                <w:rFonts w:cstheme="minorHAnsi"/>
                <w:color w:val="000000" w:themeColor="text1"/>
                <w:lang w:val="de-DE"/>
              </w:rPr>
            </w:pPr>
            <w:r w:rsidRPr="00C77207">
              <w:rPr>
                <w:rFonts w:cstheme="minorHAnsi"/>
                <w:color w:val="000000" w:themeColor="text1"/>
                <w:lang w:val="de-DE"/>
              </w:rPr>
              <w:t>gilt das deutsche Strafrecht</w:t>
            </w:r>
            <w:r w:rsidR="00ED4B1A" w:rsidRPr="00C77207">
              <w:rPr>
                <w:rFonts w:cstheme="minorHAnsi"/>
                <w:color w:val="000000" w:themeColor="text1"/>
                <w:lang w:val="de-DE"/>
              </w:rPr>
              <w:t xml:space="preserve"> für Auslandstaten</w:t>
            </w:r>
            <w:r w:rsidRPr="00C77207">
              <w:rPr>
                <w:rFonts w:cstheme="minorHAnsi"/>
                <w:color w:val="000000" w:themeColor="text1"/>
                <w:lang w:val="de-DE"/>
              </w:rPr>
              <w:t xml:space="preserve"> nur nach Maßgabe des §</w:t>
            </w:r>
            <w:r w:rsidR="000926BE" w:rsidRPr="00C77207">
              <w:rPr>
                <w:rFonts w:cstheme="minorHAnsi"/>
                <w:color w:val="000000" w:themeColor="text1"/>
                <w:lang w:val="de-DE"/>
              </w:rPr>
              <w:t xml:space="preserve"> </w:t>
            </w:r>
            <w:r w:rsidRPr="00C77207">
              <w:rPr>
                <w:rFonts w:cstheme="minorHAnsi"/>
                <w:color w:val="000000" w:themeColor="text1"/>
                <w:lang w:val="de-DE"/>
              </w:rPr>
              <w:t>7 StGB. Nach §</w:t>
            </w:r>
            <w:r w:rsidR="000926BE" w:rsidRPr="00C77207">
              <w:rPr>
                <w:rFonts w:cstheme="minorHAnsi"/>
                <w:color w:val="000000" w:themeColor="text1"/>
                <w:lang w:val="de-DE"/>
              </w:rPr>
              <w:t xml:space="preserve"> </w:t>
            </w:r>
            <w:r w:rsidRPr="00C77207">
              <w:rPr>
                <w:rFonts w:cstheme="minorHAnsi"/>
                <w:color w:val="000000" w:themeColor="text1"/>
                <w:lang w:val="de-DE"/>
              </w:rPr>
              <w:t xml:space="preserve">7 </w:t>
            </w:r>
            <w:r w:rsidR="00B1701C" w:rsidRPr="00C77207">
              <w:rPr>
                <w:rFonts w:cstheme="minorHAnsi"/>
                <w:color w:val="000000" w:themeColor="text1"/>
                <w:lang w:val="de-DE"/>
              </w:rPr>
              <w:t xml:space="preserve">Abs. 1 </w:t>
            </w:r>
            <w:r w:rsidRPr="00C77207">
              <w:rPr>
                <w:rFonts w:cstheme="minorHAnsi"/>
                <w:color w:val="000000" w:themeColor="text1"/>
                <w:lang w:val="de-DE"/>
              </w:rPr>
              <w:t xml:space="preserve">StGB gilt das deutsche Strafrecht für Taten, die im Ausland begangen wurden, wenn das Opfer deutsch ist, die Tat am Tatort mit Strafe bedroht ist oder der Tatort keiner Strafgewalt unterliegt. Nach §7 </w:t>
            </w:r>
            <w:r w:rsidR="00B1701C" w:rsidRPr="00C77207">
              <w:rPr>
                <w:rFonts w:cstheme="minorHAnsi"/>
                <w:color w:val="000000" w:themeColor="text1"/>
                <w:lang w:val="de-DE"/>
              </w:rPr>
              <w:t>Abs. 2</w:t>
            </w:r>
            <w:r w:rsidRPr="00C77207">
              <w:rPr>
                <w:rFonts w:cstheme="minorHAnsi"/>
                <w:color w:val="000000" w:themeColor="text1"/>
                <w:lang w:val="de-DE"/>
              </w:rPr>
              <w:t xml:space="preserve"> StGB gilt das deutsche Strafrecht, wenn die Tat am Tatort mit Strafe bedroht ist oder der Tatort keiner Strafgewalt unterliegt und der Täter entweder zur Zeit der Tat Deutscher war oder es nach der Tat geworden ist (Nr.</w:t>
            </w:r>
            <w:r w:rsidR="00B1701C" w:rsidRPr="00C77207">
              <w:rPr>
                <w:rFonts w:cstheme="minorHAnsi"/>
                <w:color w:val="000000" w:themeColor="text1"/>
                <w:lang w:val="de-DE"/>
              </w:rPr>
              <w:t xml:space="preserve"> </w:t>
            </w:r>
            <w:r w:rsidRPr="00C77207">
              <w:rPr>
                <w:rFonts w:cstheme="minorHAnsi"/>
                <w:color w:val="000000" w:themeColor="text1"/>
                <w:lang w:val="de-DE"/>
              </w:rPr>
              <w:t xml:space="preserve">1) oder der Täter im Inland betroffen </w:t>
            </w:r>
            <w:r w:rsidRPr="00C77207">
              <w:rPr>
                <w:rFonts w:cstheme="minorHAnsi"/>
                <w:color w:val="000000" w:themeColor="text1"/>
                <w:lang w:val="de-DE"/>
              </w:rPr>
              <w:lastRenderedPageBreak/>
              <w:t>wurde und die Auslieferung gescheitert ist</w:t>
            </w:r>
            <w:r w:rsidR="00FC536F" w:rsidRPr="00C77207">
              <w:rPr>
                <w:rFonts w:cstheme="minorHAnsi"/>
                <w:color w:val="000000" w:themeColor="text1"/>
                <w:lang w:val="de-DE"/>
              </w:rPr>
              <w:t xml:space="preserve">, obwohl sie </w:t>
            </w:r>
            <w:r w:rsidR="00B83595" w:rsidRPr="00C77207">
              <w:rPr>
                <w:rFonts w:cstheme="minorHAnsi"/>
                <w:color w:val="000000" w:themeColor="text1"/>
                <w:lang w:val="de-DE"/>
              </w:rPr>
              <w:t xml:space="preserve">nach den Vorschriften des IRG </w:t>
            </w:r>
            <w:r w:rsidR="00FC536F" w:rsidRPr="00C77207">
              <w:rPr>
                <w:rFonts w:cstheme="minorHAnsi"/>
                <w:color w:val="000000" w:themeColor="text1"/>
                <w:lang w:val="de-DE"/>
              </w:rPr>
              <w:t>zulässig wäre</w:t>
            </w:r>
            <w:r w:rsidR="009367F4" w:rsidRPr="00C77207">
              <w:rPr>
                <w:rFonts w:cstheme="minorHAnsi"/>
                <w:color w:val="000000" w:themeColor="text1"/>
                <w:lang w:val="de-DE"/>
              </w:rPr>
              <w:t xml:space="preserve"> (Nr.</w:t>
            </w:r>
            <w:r w:rsidR="00B1701C" w:rsidRPr="00C77207">
              <w:rPr>
                <w:rFonts w:cstheme="minorHAnsi"/>
                <w:color w:val="000000" w:themeColor="text1"/>
                <w:lang w:val="de-DE"/>
              </w:rPr>
              <w:t xml:space="preserve"> </w:t>
            </w:r>
            <w:r w:rsidR="009367F4" w:rsidRPr="00C77207">
              <w:rPr>
                <w:rFonts w:cstheme="minorHAnsi"/>
                <w:color w:val="000000" w:themeColor="text1"/>
                <w:lang w:val="de-DE"/>
              </w:rPr>
              <w:t>2).</w:t>
            </w:r>
          </w:p>
          <w:p w14:paraId="20078057" w14:textId="77777777" w:rsidR="00F05F3E" w:rsidRPr="00C77207" w:rsidRDefault="00F05F3E" w:rsidP="008543B6">
            <w:pPr>
              <w:rPr>
                <w:rFonts w:cstheme="minorHAnsi"/>
                <w:color w:val="000000" w:themeColor="text1"/>
                <w:lang w:val="de-DE"/>
              </w:rPr>
            </w:pPr>
          </w:p>
          <w:p w14:paraId="0E84FC30" w14:textId="661A5517" w:rsidR="000A0BD7" w:rsidRPr="00C77207" w:rsidRDefault="00F05F3E" w:rsidP="008543B6">
            <w:pPr>
              <w:rPr>
                <w:rFonts w:cstheme="minorHAnsi"/>
                <w:color w:val="000000" w:themeColor="text1"/>
                <w:lang w:val="de-DE"/>
              </w:rPr>
            </w:pPr>
            <w:r w:rsidRPr="00C77207">
              <w:rPr>
                <w:rFonts w:cstheme="minorHAnsi"/>
                <w:color w:val="000000" w:themeColor="text1"/>
                <w:lang w:val="de-DE"/>
              </w:rPr>
              <w:t>Bei Internetdelikten werden häufig Teilnahme-Konstellationen in Betracht kommen, wobei gem. §</w:t>
            </w:r>
            <w:r w:rsidR="00B1701C" w:rsidRPr="00C77207">
              <w:rPr>
                <w:rFonts w:cstheme="minorHAnsi"/>
                <w:color w:val="000000" w:themeColor="text1"/>
                <w:lang w:val="de-DE"/>
              </w:rPr>
              <w:t xml:space="preserve"> </w:t>
            </w:r>
            <w:r w:rsidRPr="00C77207">
              <w:rPr>
                <w:rFonts w:cstheme="minorHAnsi"/>
                <w:color w:val="000000" w:themeColor="text1"/>
                <w:lang w:val="de-DE"/>
              </w:rPr>
              <w:t xml:space="preserve">9 </w:t>
            </w:r>
            <w:r w:rsidR="00B1701C" w:rsidRPr="00C77207">
              <w:rPr>
                <w:rFonts w:cstheme="minorHAnsi"/>
                <w:color w:val="000000" w:themeColor="text1"/>
                <w:lang w:val="de-DE"/>
              </w:rPr>
              <w:t>Abs. 2 S. 2</w:t>
            </w:r>
            <w:r w:rsidRPr="00C77207">
              <w:rPr>
                <w:rFonts w:cstheme="minorHAnsi"/>
                <w:color w:val="000000" w:themeColor="text1"/>
                <w:lang w:val="de-DE"/>
              </w:rPr>
              <w:t xml:space="preserve"> StGB die Teilnahme an einer Auslandstat nach deutschem Strafrecht beurteilt wird. Mangels räumlicher Grenzen der Online-Begehung </w:t>
            </w:r>
            <w:r w:rsidR="00ED4B1A" w:rsidRPr="00C77207">
              <w:rPr>
                <w:rFonts w:cstheme="minorHAnsi"/>
                <w:color w:val="000000" w:themeColor="text1"/>
                <w:lang w:val="de-DE"/>
              </w:rPr>
              <w:t>wird hierbei allerdings die restriktive Handhabung sowie eine erforderliche völkerrechtskonforme Auslegung stark diskutiert.</w:t>
            </w:r>
            <w:r w:rsidR="00ED4B1A" w:rsidRPr="00C77207">
              <w:rPr>
                <w:rStyle w:val="FootnoteReference"/>
                <w:rFonts w:cstheme="minorHAnsi"/>
                <w:color w:val="000000" w:themeColor="text1"/>
                <w:lang w:val="de-DE"/>
              </w:rPr>
              <w:footnoteReference w:id="7"/>
            </w:r>
            <w:r w:rsidR="009367F4" w:rsidRPr="00C77207">
              <w:rPr>
                <w:rFonts w:cstheme="minorHAnsi"/>
                <w:color w:val="000000" w:themeColor="text1"/>
                <w:lang w:val="de-DE"/>
              </w:rPr>
              <w:t xml:space="preserve"> Die Geltung deutschen Strafrechts für die Online-Begehung von Straftaten</w:t>
            </w:r>
            <w:r w:rsidR="00BE5693" w:rsidRPr="00C77207">
              <w:rPr>
                <w:rFonts w:cstheme="minorHAnsi"/>
                <w:color w:val="000000" w:themeColor="text1"/>
                <w:lang w:val="de-DE"/>
              </w:rPr>
              <w:t>, die sich au</w:t>
            </w:r>
            <w:r w:rsidR="000926BE" w:rsidRPr="00C77207">
              <w:rPr>
                <w:rFonts w:cstheme="minorHAnsi"/>
                <w:color w:val="000000" w:themeColor="text1"/>
                <w:lang w:val="de-DE"/>
              </w:rPr>
              <w:t>f</w:t>
            </w:r>
            <w:r w:rsidR="00BE5693" w:rsidRPr="00C77207">
              <w:rPr>
                <w:rFonts w:cstheme="minorHAnsi"/>
                <w:color w:val="000000" w:themeColor="text1"/>
                <w:lang w:val="de-DE"/>
              </w:rPr>
              <w:t xml:space="preserve"> eine Teilnahme begrenzt,</w:t>
            </w:r>
            <w:r w:rsidR="009367F4" w:rsidRPr="00C77207">
              <w:rPr>
                <w:rFonts w:cstheme="minorHAnsi"/>
                <w:color w:val="000000" w:themeColor="text1"/>
                <w:lang w:val="de-DE"/>
              </w:rPr>
              <w:t xml:space="preserve"> ist deshalb </w:t>
            </w:r>
            <w:r w:rsidR="000926BE" w:rsidRPr="00C77207">
              <w:rPr>
                <w:rFonts w:cstheme="minorHAnsi"/>
                <w:color w:val="000000" w:themeColor="text1"/>
                <w:lang w:val="de-DE"/>
              </w:rPr>
              <w:t>mit Rechtsunsicherheiten verbunden</w:t>
            </w:r>
            <w:r w:rsidR="009367F4" w:rsidRPr="00C77207">
              <w:rPr>
                <w:rFonts w:cstheme="minorHAnsi"/>
                <w:color w:val="000000" w:themeColor="text1"/>
                <w:lang w:val="de-DE"/>
              </w:rPr>
              <w:t>.</w:t>
            </w:r>
          </w:p>
        </w:tc>
      </w:tr>
      <w:tr w:rsidR="001C2BA0" w:rsidRPr="00F206A4" w14:paraId="555B83A1" w14:textId="77777777" w:rsidTr="00A57D8B">
        <w:trPr>
          <w:trHeight w:val="558"/>
        </w:trPr>
        <w:tc>
          <w:tcPr>
            <w:tcW w:w="425" w:type="dxa"/>
          </w:tcPr>
          <w:p w14:paraId="7DFF6F71" w14:textId="77777777" w:rsidR="001C2BA0" w:rsidRPr="0022034E" w:rsidRDefault="001C2BA0" w:rsidP="001C2BA0">
            <w:pPr>
              <w:numPr>
                <w:ilvl w:val="0"/>
                <w:numId w:val="2"/>
              </w:numPr>
              <w:contextualSpacing/>
              <w:rPr>
                <w:rFonts w:ascii="Calibri" w:hAnsi="Calibri" w:cs="Calibri"/>
                <w:szCs w:val="28"/>
                <w:lang w:val="de-DE"/>
              </w:rPr>
            </w:pPr>
          </w:p>
        </w:tc>
        <w:tc>
          <w:tcPr>
            <w:tcW w:w="5387" w:type="dxa"/>
          </w:tcPr>
          <w:p w14:paraId="4B634DDE" w14:textId="4BE494DC" w:rsidR="00CC01B4" w:rsidRPr="001467E1" w:rsidRDefault="00BA1863" w:rsidP="000F3F4C">
            <w:pPr>
              <w:rPr>
                <w:rFonts w:ascii="Calibri" w:hAnsi="Calibri" w:cs="Calibri"/>
                <w:color w:val="FF0000"/>
                <w:lang w:val="de-DE"/>
              </w:rPr>
            </w:pPr>
            <w:r>
              <w:rPr>
                <w:rFonts w:eastAsia="Calibri" w:cstheme="minorHAnsi"/>
                <w:color w:val="000000" w:themeColor="text1"/>
                <w:lang w:val="de-DE"/>
              </w:rPr>
              <w:t>Integration</w:t>
            </w:r>
            <w:r w:rsidRPr="007F0D8E">
              <w:rPr>
                <w:rStyle w:val="CommentReference"/>
                <w:lang w:val="de-DE"/>
              </w:rPr>
              <w:t xml:space="preserve"> </w:t>
            </w:r>
            <w:r w:rsidR="007F0D8E">
              <w:rPr>
                <w:rStyle w:val="CommentReference"/>
                <w:sz w:val="22"/>
                <w:lang w:val="de-DE"/>
              </w:rPr>
              <w:t>de</w:t>
            </w:r>
            <w:r w:rsidR="001467E1" w:rsidRPr="001467E1">
              <w:rPr>
                <w:rFonts w:eastAsia="Calibri" w:cstheme="minorHAnsi"/>
                <w:color w:val="000000" w:themeColor="text1"/>
                <w:lang w:val="de-DE"/>
              </w:rPr>
              <w:t xml:space="preserve">r sexuellen Ausbeutung von Kindern als </w:t>
            </w:r>
            <w:r w:rsidR="001467E1" w:rsidRPr="001467E1">
              <w:rPr>
                <w:rFonts w:eastAsia="Calibri" w:cstheme="minorHAnsi"/>
                <w:b/>
                <w:color w:val="000000" w:themeColor="text1"/>
                <w:lang w:val="de-DE"/>
              </w:rPr>
              <w:t>auslieferungsfähige Straftat</w:t>
            </w:r>
            <w:r w:rsidR="001467E1" w:rsidRPr="001467E1">
              <w:rPr>
                <w:rFonts w:eastAsia="Calibri" w:cstheme="minorHAnsi"/>
                <w:color w:val="000000" w:themeColor="text1"/>
                <w:lang w:val="de-DE"/>
              </w:rPr>
              <w:t xml:space="preserve"> in Auslieferungsverträge und entsprechende Anwendung der Bestimmungen von Artikel 5 OPSC, unabhängig von der Staatsangehörigkeit des (mutmaßlichen) Täters.</w:t>
            </w:r>
          </w:p>
        </w:tc>
        <w:tc>
          <w:tcPr>
            <w:tcW w:w="1701" w:type="dxa"/>
          </w:tcPr>
          <w:p w14:paraId="3BAF1564" w14:textId="623994B0" w:rsidR="001C2BA0" w:rsidRPr="0050297D" w:rsidRDefault="00C55A34" w:rsidP="001C2BA0">
            <w:pPr>
              <w:rPr>
                <w:rFonts w:ascii="Calibri" w:hAnsi="Calibri" w:cs="Calibri"/>
                <w:color w:val="000000" w:themeColor="text1"/>
                <w:lang w:val="en-GB"/>
              </w:rPr>
            </w:pPr>
            <w:proofErr w:type="spellStart"/>
            <w:r>
              <w:rPr>
                <w:rFonts w:ascii="Calibri" w:hAnsi="Calibri" w:cs="Calibri"/>
                <w:color w:val="000000" w:themeColor="text1"/>
                <w:lang w:val="en-GB"/>
              </w:rPr>
              <w:t>Teilweise</w:t>
            </w:r>
            <w:proofErr w:type="spellEnd"/>
          </w:p>
        </w:tc>
        <w:tc>
          <w:tcPr>
            <w:tcW w:w="5523" w:type="dxa"/>
          </w:tcPr>
          <w:p w14:paraId="63FAE15F" w14:textId="6709C14A" w:rsidR="0026290A" w:rsidRPr="00C77207" w:rsidRDefault="0026290A" w:rsidP="008543B6">
            <w:pPr>
              <w:rPr>
                <w:rFonts w:cstheme="minorHAnsi"/>
                <w:b/>
                <w:color w:val="000000" w:themeColor="text1"/>
                <w:lang w:val="de-DE"/>
              </w:rPr>
            </w:pPr>
            <w:r w:rsidRPr="00C77207">
              <w:rPr>
                <w:rFonts w:cstheme="minorHAnsi"/>
                <w:b/>
                <w:color w:val="000000" w:themeColor="text1"/>
                <w:lang w:val="de-DE"/>
              </w:rPr>
              <w:t>Nationales Recht</w:t>
            </w:r>
          </w:p>
          <w:p w14:paraId="1378A8C3" w14:textId="3A7A62C0" w:rsidR="001C2BA0" w:rsidRPr="00C77207" w:rsidRDefault="005F1BE7" w:rsidP="008543B6">
            <w:pPr>
              <w:rPr>
                <w:rFonts w:cstheme="minorHAnsi"/>
                <w:color w:val="000000" w:themeColor="text1"/>
                <w:lang w:val="de-DE"/>
              </w:rPr>
            </w:pPr>
            <w:r w:rsidRPr="00C77207">
              <w:rPr>
                <w:rFonts w:cstheme="minorHAnsi"/>
                <w:color w:val="000000" w:themeColor="text1"/>
                <w:lang w:val="de-DE"/>
              </w:rPr>
              <w:t xml:space="preserve">Im vertraglosen Bereich, </w:t>
            </w:r>
            <w:r w:rsidR="00FC536F" w:rsidRPr="00C77207">
              <w:rPr>
                <w:rFonts w:cstheme="minorHAnsi"/>
                <w:color w:val="000000" w:themeColor="text1"/>
                <w:lang w:val="de-DE"/>
              </w:rPr>
              <w:t>d.h.</w:t>
            </w:r>
            <w:r w:rsidRPr="00C77207">
              <w:rPr>
                <w:rFonts w:cstheme="minorHAnsi"/>
                <w:color w:val="000000" w:themeColor="text1"/>
                <w:lang w:val="de-DE"/>
              </w:rPr>
              <w:t xml:space="preserve"> wenn keine völkerrechtlichen Vereinbarungen existieren, richtet sich die Auslieferung nach dem Gesetz über die internationale Rechtshilfe in Strafsachen, §</w:t>
            </w:r>
            <w:r w:rsidR="00B1701C" w:rsidRPr="00C77207">
              <w:rPr>
                <w:rFonts w:cstheme="minorHAnsi"/>
                <w:color w:val="000000" w:themeColor="text1"/>
                <w:lang w:val="de-DE"/>
              </w:rPr>
              <w:t xml:space="preserve"> </w:t>
            </w:r>
            <w:r w:rsidRPr="00C77207">
              <w:rPr>
                <w:rFonts w:cstheme="minorHAnsi"/>
                <w:color w:val="000000" w:themeColor="text1"/>
                <w:lang w:val="de-DE"/>
              </w:rPr>
              <w:t xml:space="preserve">1 </w:t>
            </w:r>
            <w:r w:rsidR="00B1701C" w:rsidRPr="00C77207">
              <w:rPr>
                <w:rFonts w:cstheme="minorHAnsi"/>
                <w:color w:val="000000" w:themeColor="text1"/>
                <w:lang w:val="de-DE"/>
              </w:rPr>
              <w:t>Abs. 3</w:t>
            </w:r>
            <w:r w:rsidRPr="00C77207">
              <w:rPr>
                <w:rFonts w:cstheme="minorHAnsi"/>
                <w:color w:val="000000" w:themeColor="text1"/>
                <w:lang w:val="de-DE"/>
              </w:rPr>
              <w:t xml:space="preserve"> IRG.</w:t>
            </w:r>
            <w:r w:rsidR="0026290A" w:rsidRPr="00C77207">
              <w:rPr>
                <w:rFonts w:cstheme="minorHAnsi"/>
                <w:color w:val="000000" w:themeColor="text1"/>
                <w:lang w:val="de-DE"/>
              </w:rPr>
              <w:t xml:space="preserve"> Es sind keine speziellen Vorschriften für die von Art. 3 OPSC erfassten Missbrauchstatbestände vorgesehen, sondern die Auslieferung richtet sich nach den allgemeinen Regeln.</w:t>
            </w:r>
          </w:p>
          <w:p w14:paraId="3BF0AFD3" w14:textId="3B9848B6" w:rsidR="005F1BE7" w:rsidRPr="00C77207" w:rsidRDefault="005F1BE7" w:rsidP="008543B6">
            <w:pPr>
              <w:rPr>
                <w:rFonts w:cstheme="minorHAnsi"/>
                <w:color w:val="000000" w:themeColor="text1"/>
                <w:lang w:val="de-DE"/>
              </w:rPr>
            </w:pPr>
          </w:p>
          <w:p w14:paraId="394BF68E" w14:textId="4B7D6868" w:rsidR="00CC01B4" w:rsidRPr="00C77207" w:rsidRDefault="007D37C7" w:rsidP="008543B6">
            <w:pPr>
              <w:rPr>
                <w:rFonts w:cstheme="minorHAnsi"/>
                <w:color w:val="000000" w:themeColor="text1"/>
                <w:lang w:val="de-DE"/>
              </w:rPr>
            </w:pPr>
            <w:r w:rsidRPr="00C77207">
              <w:rPr>
                <w:rFonts w:cstheme="minorHAnsi"/>
                <w:color w:val="000000" w:themeColor="text1"/>
                <w:lang w:val="de-DE"/>
              </w:rPr>
              <w:t>Nach dem in §</w:t>
            </w:r>
            <w:r w:rsidR="000926BE" w:rsidRPr="00C77207">
              <w:rPr>
                <w:rFonts w:cstheme="minorHAnsi"/>
                <w:color w:val="000000" w:themeColor="text1"/>
                <w:lang w:val="de-DE"/>
              </w:rPr>
              <w:t xml:space="preserve"> </w:t>
            </w:r>
            <w:r w:rsidRPr="00C77207">
              <w:rPr>
                <w:rFonts w:cstheme="minorHAnsi"/>
                <w:color w:val="000000" w:themeColor="text1"/>
                <w:lang w:val="de-DE"/>
              </w:rPr>
              <w:t xml:space="preserve">3 </w:t>
            </w:r>
            <w:r w:rsidR="00B1701C" w:rsidRPr="00C77207">
              <w:rPr>
                <w:rFonts w:cstheme="minorHAnsi"/>
                <w:color w:val="000000" w:themeColor="text1"/>
                <w:lang w:val="de-DE"/>
              </w:rPr>
              <w:t>Abs. 2</w:t>
            </w:r>
            <w:r w:rsidRPr="00C77207">
              <w:rPr>
                <w:rFonts w:cstheme="minorHAnsi"/>
                <w:color w:val="000000" w:themeColor="text1"/>
                <w:lang w:val="de-DE"/>
              </w:rPr>
              <w:t xml:space="preserve"> IRG normierten Signifikanzprinzip ist die Auslieferung nur bei solchen Taten zulässig, die mit einer Freiheitsstrafe von mind. einem Jahr bestraft werden. Für die verschiedenen Missbrauchstatbestände bedeutet dies, dass die Auslieferung zulässig ist bei</w:t>
            </w:r>
          </w:p>
          <w:p w14:paraId="76A0488D" w14:textId="449D8242" w:rsidR="00CC01B4" w:rsidRPr="00C77207" w:rsidRDefault="007D37C7" w:rsidP="008543B6">
            <w:pPr>
              <w:pStyle w:val="ListParagraph"/>
              <w:numPr>
                <w:ilvl w:val="0"/>
                <w:numId w:val="6"/>
              </w:numPr>
              <w:spacing w:line="240" w:lineRule="auto"/>
              <w:rPr>
                <w:rFonts w:asciiTheme="minorHAnsi" w:hAnsiTheme="minorHAnsi" w:cstheme="minorHAnsi"/>
                <w:color w:val="000000" w:themeColor="text1"/>
                <w:szCs w:val="22"/>
                <w:lang w:val="de-DE"/>
              </w:rPr>
            </w:pPr>
            <w:r w:rsidRPr="00C77207">
              <w:rPr>
                <w:rFonts w:asciiTheme="minorHAnsi" w:hAnsiTheme="minorHAnsi" w:cstheme="minorHAnsi"/>
                <w:color w:val="000000" w:themeColor="text1"/>
                <w:szCs w:val="22"/>
                <w:lang w:val="de-DE"/>
              </w:rPr>
              <w:t>sexuellem Missbrauch von Kindern gem. §</w:t>
            </w:r>
            <w:r w:rsidR="00B1701C" w:rsidRPr="00C77207">
              <w:rPr>
                <w:rFonts w:asciiTheme="minorHAnsi" w:hAnsiTheme="minorHAnsi" w:cstheme="minorHAnsi"/>
                <w:color w:val="000000" w:themeColor="text1"/>
                <w:szCs w:val="22"/>
                <w:lang w:val="de-DE"/>
              </w:rPr>
              <w:t xml:space="preserve"> </w:t>
            </w:r>
            <w:r w:rsidRPr="00C77207">
              <w:rPr>
                <w:rFonts w:asciiTheme="minorHAnsi" w:hAnsiTheme="minorHAnsi" w:cstheme="minorHAnsi"/>
                <w:color w:val="000000" w:themeColor="text1"/>
                <w:szCs w:val="22"/>
                <w:lang w:val="de-DE"/>
              </w:rPr>
              <w:t xml:space="preserve">176 StGB, </w:t>
            </w:r>
          </w:p>
          <w:p w14:paraId="3786967D" w14:textId="699AF62A" w:rsidR="00CC01B4" w:rsidRPr="00C77207" w:rsidRDefault="007D37C7" w:rsidP="008543B6">
            <w:pPr>
              <w:pStyle w:val="ListParagraph"/>
              <w:numPr>
                <w:ilvl w:val="0"/>
                <w:numId w:val="6"/>
              </w:numPr>
              <w:spacing w:line="240" w:lineRule="auto"/>
              <w:rPr>
                <w:rFonts w:asciiTheme="minorHAnsi" w:hAnsiTheme="minorHAnsi" w:cstheme="minorHAnsi"/>
                <w:color w:val="000000" w:themeColor="text1"/>
                <w:szCs w:val="22"/>
                <w:lang w:val="de-DE"/>
              </w:rPr>
            </w:pPr>
            <w:r w:rsidRPr="00C77207">
              <w:rPr>
                <w:rFonts w:asciiTheme="minorHAnsi" w:hAnsiTheme="minorHAnsi" w:cstheme="minorHAnsi"/>
                <w:color w:val="000000" w:themeColor="text1"/>
                <w:szCs w:val="22"/>
                <w:lang w:val="de-DE"/>
              </w:rPr>
              <w:t>dem schweren sexuellen Missbrauch von Kindern gem. §</w:t>
            </w:r>
            <w:r w:rsidR="00B1701C" w:rsidRPr="00C77207">
              <w:rPr>
                <w:rFonts w:asciiTheme="minorHAnsi" w:hAnsiTheme="minorHAnsi" w:cstheme="minorHAnsi"/>
                <w:color w:val="000000" w:themeColor="text1"/>
                <w:szCs w:val="22"/>
                <w:lang w:val="de-DE"/>
              </w:rPr>
              <w:t xml:space="preserve"> </w:t>
            </w:r>
            <w:r w:rsidRPr="00C77207">
              <w:rPr>
                <w:rFonts w:asciiTheme="minorHAnsi" w:hAnsiTheme="minorHAnsi" w:cstheme="minorHAnsi"/>
                <w:color w:val="000000" w:themeColor="text1"/>
                <w:szCs w:val="22"/>
                <w:lang w:val="de-DE"/>
              </w:rPr>
              <w:t xml:space="preserve">176c StGB </w:t>
            </w:r>
          </w:p>
          <w:p w14:paraId="0214F296" w14:textId="670CD4EA" w:rsidR="00CC01B4" w:rsidRPr="00C77207" w:rsidRDefault="007D37C7" w:rsidP="008543B6">
            <w:pPr>
              <w:pStyle w:val="ListParagraph"/>
              <w:numPr>
                <w:ilvl w:val="0"/>
                <w:numId w:val="6"/>
              </w:numPr>
              <w:spacing w:line="240" w:lineRule="auto"/>
              <w:rPr>
                <w:rFonts w:asciiTheme="minorHAnsi" w:hAnsiTheme="minorHAnsi" w:cstheme="minorHAnsi"/>
                <w:color w:val="000000" w:themeColor="text1"/>
                <w:szCs w:val="22"/>
                <w:lang w:val="de-DE"/>
              </w:rPr>
            </w:pPr>
            <w:r w:rsidRPr="00C77207">
              <w:rPr>
                <w:rFonts w:asciiTheme="minorHAnsi" w:hAnsiTheme="minorHAnsi" w:cstheme="minorHAnsi"/>
                <w:color w:val="000000" w:themeColor="text1"/>
                <w:szCs w:val="22"/>
                <w:lang w:val="de-DE"/>
              </w:rPr>
              <w:lastRenderedPageBreak/>
              <w:t>sowie der Verbreitung, dem Erwerb und dem Besitz von Kinderpornographie gem. §</w:t>
            </w:r>
            <w:r w:rsidR="00B1701C" w:rsidRPr="00C77207">
              <w:rPr>
                <w:rFonts w:asciiTheme="minorHAnsi" w:hAnsiTheme="minorHAnsi" w:cstheme="minorHAnsi"/>
                <w:color w:val="000000" w:themeColor="text1"/>
                <w:szCs w:val="22"/>
                <w:lang w:val="de-DE"/>
              </w:rPr>
              <w:t xml:space="preserve"> </w:t>
            </w:r>
            <w:r w:rsidRPr="00C77207">
              <w:rPr>
                <w:rFonts w:asciiTheme="minorHAnsi" w:hAnsiTheme="minorHAnsi" w:cstheme="minorHAnsi"/>
                <w:color w:val="000000" w:themeColor="text1"/>
                <w:szCs w:val="22"/>
                <w:lang w:val="de-DE"/>
              </w:rPr>
              <w:t xml:space="preserve">184b </w:t>
            </w:r>
            <w:r w:rsidR="00B1701C" w:rsidRPr="00C77207">
              <w:rPr>
                <w:rFonts w:asciiTheme="minorHAnsi" w:hAnsiTheme="minorHAnsi" w:cstheme="minorHAnsi"/>
                <w:color w:val="000000" w:themeColor="text1"/>
                <w:szCs w:val="22"/>
                <w:lang w:val="de-DE"/>
              </w:rPr>
              <w:t>Abs. 1</w:t>
            </w:r>
            <w:r w:rsidRPr="00C77207">
              <w:rPr>
                <w:rFonts w:asciiTheme="minorHAnsi" w:hAnsiTheme="minorHAnsi" w:cstheme="minorHAnsi"/>
                <w:color w:val="000000" w:themeColor="text1"/>
                <w:szCs w:val="22"/>
                <w:lang w:val="de-DE"/>
              </w:rPr>
              <w:t xml:space="preserve">, </w:t>
            </w:r>
            <w:r w:rsidR="00B1701C" w:rsidRPr="00C77207">
              <w:rPr>
                <w:rFonts w:asciiTheme="minorHAnsi" w:hAnsiTheme="minorHAnsi" w:cstheme="minorHAnsi"/>
                <w:color w:val="000000" w:themeColor="text1"/>
                <w:szCs w:val="22"/>
                <w:lang w:val="de-DE"/>
              </w:rPr>
              <w:t>Abs. 3</w:t>
            </w:r>
            <w:r w:rsidRPr="00C77207">
              <w:rPr>
                <w:rFonts w:asciiTheme="minorHAnsi" w:hAnsiTheme="minorHAnsi" w:cstheme="minorHAnsi"/>
                <w:color w:val="000000" w:themeColor="text1"/>
                <w:szCs w:val="22"/>
                <w:lang w:val="de-DE"/>
              </w:rPr>
              <w:t xml:space="preserve"> StGB. </w:t>
            </w:r>
          </w:p>
          <w:p w14:paraId="361F6B82" w14:textId="77777777" w:rsidR="00CC01B4" w:rsidRPr="00C77207" w:rsidRDefault="007D37C7" w:rsidP="008543B6">
            <w:pPr>
              <w:rPr>
                <w:rFonts w:cstheme="minorHAnsi"/>
                <w:color w:val="000000" w:themeColor="text1"/>
                <w:lang w:val="de-DE"/>
              </w:rPr>
            </w:pPr>
            <w:r w:rsidRPr="00C77207">
              <w:rPr>
                <w:rFonts w:cstheme="minorHAnsi"/>
                <w:color w:val="000000" w:themeColor="text1"/>
                <w:lang w:val="de-DE"/>
              </w:rPr>
              <w:t xml:space="preserve">Unzulässig ist die Auslieferung dagegen </w:t>
            </w:r>
          </w:p>
          <w:p w14:paraId="215C185E" w14:textId="29585361" w:rsidR="00CC01B4" w:rsidRPr="00C77207" w:rsidRDefault="007D37C7" w:rsidP="008543B6">
            <w:pPr>
              <w:pStyle w:val="ListParagraph"/>
              <w:numPr>
                <w:ilvl w:val="0"/>
                <w:numId w:val="6"/>
              </w:numPr>
              <w:spacing w:line="240" w:lineRule="auto"/>
              <w:rPr>
                <w:rFonts w:asciiTheme="minorHAnsi" w:hAnsiTheme="minorHAnsi" w:cstheme="minorHAnsi"/>
                <w:color w:val="000000" w:themeColor="text1"/>
                <w:szCs w:val="22"/>
                <w:lang w:val="de-DE"/>
              </w:rPr>
            </w:pPr>
            <w:r w:rsidRPr="00C77207">
              <w:rPr>
                <w:rFonts w:asciiTheme="minorHAnsi" w:hAnsiTheme="minorHAnsi" w:cstheme="minorHAnsi"/>
                <w:color w:val="000000" w:themeColor="text1"/>
                <w:szCs w:val="22"/>
                <w:lang w:val="de-DE"/>
              </w:rPr>
              <w:t>bei sexuellem Missbrauch von Kindern ohne Körperkontakt gem. §</w:t>
            </w:r>
            <w:r w:rsidR="00B1701C" w:rsidRPr="00C77207">
              <w:rPr>
                <w:rFonts w:asciiTheme="minorHAnsi" w:hAnsiTheme="minorHAnsi" w:cstheme="minorHAnsi"/>
                <w:color w:val="000000" w:themeColor="text1"/>
                <w:szCs w:val="22"/>
                <w:lang w:val="de-DE"/>
              </w:rPr>
              <w:t xml:space="preserve"> </w:t>
            </w:r>
            <w:r w:rsidRPr="00C77207">
              <w:rPr>
                <w:rFonts w:asciiTheme="minorHAnsi" w:hAnsiTheme="minorHAnsi" w:cstheme="minorHAnsi"/>
                <w:color w:val="000000" w:themeColor="text1"/>
                <w:szCs w:val="22"/>
                <w:lang w:val="de-DE"/>
              </w:rPr>
              <w:t xml:space="preserve">176a StGB, </w:t>
            </w:r>
          </w:p>
          <w:p w14:paraId="500122D2" w14:textId="033545FA" w:rsidR="00CC01B4" w:rsidRPr="00C77207" w:rsidRDefault="007D37C7" w:rsidP="008543B6">
            <w:pPr>
              <w:pStyle w:val="ListParagraph"/>
              <w:numPr>
                <w:ilvl w:val="0"/>
                <w:numId w:val="6"/>
              </w:numPr>
              <w:spacing w:line="240" w:lineRule="auto"/>
              <w:rPr>
                <w:rFonts w:asciiTheme="minorHAnsi" w:hAnsiTheme="minorHAnsi" w:cstheme="minorHAnsi"/>
                <w:color w:val="000000" w:themeColor="text1"/>
                <w:szCs w:val="22"/>
                <w:lang w:val="de-DE"/>
              </w:rPr>
            </w:pPr>
            <w:r w:rsidRPr="00C77207">
              <w:rPr>
                <w:rFonts w:asciiTheme="minorHAnsi" w:hAnsiTheme="minorHAnsi" w:cstheme="minorHAnsi"/>
                <w:color w:val="000000" w:themeColor="text1"/>
                <w:szCs w:val="22"/>
                <w:lang w:val="de-DE"/>
              </w:rPr>
              <w:t xml:space="preserve">der Förderung sexueller </w:t>
            </w:r>
            <w:r w:rsidR="0050297D" w:rsidRPr="00C77207">
              <w:rPr>
                <w:rFonts w:asciiTheme="minorHAnsi" w:hAnsiTheme="minorHAnsi" w:cstheme="minorHAnsi"/>
                <w:color w:val="000000" w:themeColor="text1"/>
                <w:szCs w:val="22"/>
                <w:lang w:val="de-DE"/>
              </w:rPr>
              <w:t>Handlungen Minderjähriger gem. §</w:t>
            </w:r>
            <w:r w:rsidR="00B1701C" w:rsidRPr="00C77207">
              <w:rPr>
                <w:rFonts w:asciiTheme="minorHAnsi" w:hAnsiTheme="minorHAnsi" w:cstheme="minorHAnsi"/>
                <w:color w:val="000000" w:themeColor="text1"/>
                <w:szCs w:val="22"/>
                <w:lang w:val="de-DE"/>
              </w:rPr>
              <w:t xml:space="preserve"> </w:t>
            </w:r>
            <w:r w:rsidR="0050297D" w:rsidRPr="00C77207">
              <w:rPr>
                <w:rFonts w:asciiTheme="minorHAnsi" w:hAnsiTheme="minorHAnsi" w:cstheme="minorHAnsi"/>
                <w:color w:val="000000" w:themeColor="text1"/>
                <w:szCs w:val="22"/>
                <w:lang w:val="de-DE"/>
              </w:rPr>
              <w:t xml:space="preserve">180 </w:t>
            </w:r>
            <w:r w:rsidR="00B1701C" w:rsidRPr="00C77207">
              <w:rPr>
                <w:rFonts w:asciiTheme="minorHAnsi" w:hAnsiTheme="minorHAnsi" w:cstheme="minorHAnsi"/>
                <w:color w:val="000000" w:themeColor="text1"/>
                <w:szCs w:val="22"/>
                <w:lang w:val="de-DE"/>
              </w:rPr>
              <w:t>Abs. 2</w:t>
            </w:r>
            <w:r w:rsidR="0050297D" w:rsidRPr="00C77207">
              <w:rPr>
                <w:rFonts w:asciiTheme="minorHAnsi" w:hAnsiTheme="minorHAnsi" w:cstheme="minorHAnsi"/>
                <w:color w:val="000000" w:themeColor="text1"/>
                <w:szCs w:val="22"/>
                <w:lang w:val="de-DE"/>
              </w:rPr>
              <w:t xml:space="preserve"> StGB</w:t>
            </w:r>
            <w:r w:rsidR="00597D8C" w:rsidRPr="00C77207">
              <w:rPr>
                <w:rFonts w:asciiTheme="minorHAnsi" w:hAnsiTheme="minorHAnsi" w:cstheme="minorHAnsi"/>
                <w:color w:val="000000" w:themeColor="text1"/>
                <w:szCs w:val="22"/>
                <w:lang w:val="de-DE"/>
              </w:rPr>
              <w:t>,</w:t>
            </w:r>
            <w:r w:rsidR="0050297D" w:rsidRPr="00C77207">
              <w:rPr>
                <w:rFonts w:asciiTheme="minorHAnsi" w:hAnsiTheme="minorHAnsi" w:cstheme="minorHAnsi"/>
                <w:color w:val="000000" w:themeColor="text1"/>
                <w:szCs w:val="22"/>
                <w:lang w:val="de-DE"/>
              </w:rPr>
              <w:t xml:space="preserve"> </w:t>
            </w:r>
          </w:p>
          <w:p w14:paraId="129A6812" w14:textId="7006EB65" w:rsidR="00CC01B4" w:rsidRPr="00C77207" w:rsidRDefault="0050297D" w:rsidP="008543B6">
            <w:pPr>
              <w:pStyle w:val="ListParagraph"/>
              <w:numPr>
                <w:ilvl w:val="0"/>
                <w:numId w:val="6"/>
              </w:numPr>
              <w:spacing w:line="240" w:lineRule="auto"/>
              <w:rPr>
                <w:rFonts w:asciiTheme="minorHAnsi" w:hAnsiTheme="minorHAnsi" w:cstheme="minorHAnsi"/>
                <w:color w:val="000000" w:themeColor="text1"/>
                <w:szCs w:val="22"/>
                <w:lang w:val="de-DE"/>
              </w:rPr>
            </w:pPr>
            <w:r w:rsidRPr="00C77207">
              <w:rPr>
                <w:rFonts w:asciiTheme="minorHAnsi" w:hAnsiTheme="minorHAnsi" w:cstheme="minorHAnsi"/>
                <w:color w:val="000000" w:themeColor="text1"/>
                <w:szCs w:val="22"/>
                <w:lang w:val="de-DE"/>
              </w:rPr>
              <w:t>dem sexuellen Missbrauch und dem entgeltlichen sexuellen Kontakt mit Jugendlichen gem. §</w:t>
            </w:r>
            <w:r w:rsidR="00B1701C" w:rsidRPr="00C77207">
              <w:rPr>
                <w:rFonts w:asciiTheme="minorHAnsi" w:hAnsiTheme="minorHAnsi" w:cstheme="minorHAnsi"/>
                <w:color w:val="000000" w:themeColor="text1"/>
                <w:szCs w:val="22"/>
                <w:lang w:val="de-DE"/>
              </w:rPr>
              <w:t xml:space="preserve"> </w:t>
            </w:r>
            <w:r w:rsidRPr="00C77207">
              <w:rPr>
                <w:rFonts w:asciiTheme="minorHAnsi" w:hAnsiTheme="minorHAnsi" w:cstheme="minorHAnsi"/>
                <w:color w:val="000000" w:themeColor="text1"/>
                <w:szCs w:val="22"/>
                <w:lang w:val="de-DE"/>
              </w:rPr>
              <w:t xml:space="preserve">182 </w:t>
            </w:r>
            <w:r w:rsidR="00B1701C" w:rsidRPr="00C77207">
              <w:rPr>
                <w:rFonts w:asciiTheme="minorHAnsi" w:hAnsiTheme="minorHAnsi" w:cstheme="minorHAnsi"/>
                <w:color w:val="000000" w:themeColor="text1"/>
                <w:szCs w:val="22"/>
                <w:lang w:val="de-DE"/>
              </w:rPr>
              <w:t>Abs. 1</w:t>
            </w:r>
            <w:r w:rsidRPr="00C77207">
              <w:rPr>
                <w:rFonts w:asciiTheme="minorHAnsi" w:hAnsiTheme="minorHAnsi" w:cstheme="minorHAnsi"/>
                <w:color w:val="000000" w:themeColor="text1"/>
                <w:szCs w:val="22"/>
                <w:lang w:val="de-DE"/>
              </w:rPr>
              <w:t xml:space="preserve">, </w:t>
            </w:r>
            <w:r w:rsidR="00B1701C" w:rsidRPr="00C77207">
              <w:rPr>
                <w:rFonts w:asciiTheme="minorHAnsi" w:hAnsiTheme="minorHAnsi" w:cstheme="minorHAnsi"/>
                <w:color w:val="000000" w:themeColor="text1"/>
                <w:szCs w:val="22"/>
                <w:lang w:val="de-DE"/>
              </w:rPr>
              <w:t>Abs. 2</w:t>
            </w:r>
            <w:r w:rsidRPr="00C77207">
              <w:rPr>
                <w:rFonts w:asciiTheme="minorHAnsi" w:hAnsiTheme="minorHAnsi" w:cstheme="minorHAnsi"/>
                <w:color w:val="000000" w:themeColor="text1"/>
                <w:szCs w:val="22"/>
                <w:lang w:val="de-DE"/>
              </w:rPr>
              <w:t xml:space="preserve"> StGB, </w:t>
            </w:r>
          </w:p>
          <w:p w14:paraId="6AA20310" w14:textId="6801B989" w:rsidR="00CC01B4" w:rsidRPr="00C77207" w:rsidRDefault="0050297D" w:rsidP="008543B6">
            <w:pPr>
              <w:pStyle w:val="ListParagraph"/>
              <w:numPr>
                <w:ilvl w:val="0"/>
                <w:numId w:val="6"/>
              </w:numPr>
              <w:spacing w:line="240" w:lineRule="auto"/>
              <w:rPr>
                <w:rFonts w:asciiTheme="minorHAnsi" w:hAnsiTheme="minorHAnsi" w:cstheme="minorHAnsi"/>
                <w:color w:val="000000" w:themeColor="text1"/>
                <w:szCs w:val="22"/>
                <w:lang w:val="de-DE"/>
              </w:rPr>
            </w:pPr>
            <w:r w:rsidRPr="00C77207">
              <w:rPr>
                <w:rFonts w:asciiTheme="minorHAnsi" w:hAnsiTheme="minorHAnsi" w:cstheme="minorHAnsi"/>
                <w:color w:val="000000" w:themeColor="text1"/>
                <w:szCs w:val="22"/>
                <w:lang w:val="de-DE"/>
              </w:rPr>
              <w:t>der Verbreitung, dem Erwerb und dem Besitz von Jugendpornographie gem. §</w:t>
            </w:r>
            <w:r w:rsidR="00B1701C" w:rsidRPr="00C77207">
              <w:rPr>
                <w:rFonts w:asciiTheme="minorHAnsi" w:hAnsiTheme="minorHAnsi" w:cstheme="minorHAnsi"/>
                <w:color w:val="000000" w:themeColor="text1"/>
                <w:szCs w:val="22"/>
                <w:lang w:val="de-DE"/>
              </w:rPr>
              <w:t xml:space="preserve"> </w:t>
            </w:r>
            <w:r w:rsidRPr="00C77207">
              <w:rPr>
                <w:rFonts w:asciiTheme="minorHAnsi" w:hAnsiTheme="minorHAnsi" w:cstheme="minorHAnsi"/>
                <w:color w:val="000000" w:themeColor="text1"/>
                <w:szCs w:val="22"/>
                <w:lang w:val="de-DE"/>
              </w:rPr>
              <w:t xml:space="preserve">184c </w:t>
            </w:r>
            <w:r w:rsidR="00B1701C" w:rsidRPr="00C77207">
              <w:rPr>
                <w:rFonts w:asciiTheme="minorHAnsi" w:hAnsiTheme="minorHAnsi" w:cstheme="minorHAnsi"/>
                <w:color w:val="000000" w:themeColor="text1"/>
                <w:szCs w:val="22"/>
                <w:lang w:val="de-DE"/>
              </w:rPr>
              <w:t>Abs. 1</w:t>
            </w:r>
            <w:r w:rsidRPr="00C77207">
              <w:rPr>
                <w:rFonts w:asciiTheme="minorHAnsi" w:hAnsiTheme="minorHAnsi" w:cstheme="minorHAnsi"/>
                <w:color w:val="000000" w:themeColor="text1"/>
                <w:szCs w:val="22"/>
                <w:lang w:val="de-DE"/>
              </w:rPr>
              <w:t xml:space="preserve">, </w:t>
            </w:r>
            <w:r w:rsidR="00B1701C" w:rsidRPr="00C77207">
              <w:rPr>
                <w:rFonts w:asciiTheme="minorHAnsi" w:hAnsiTheme="minorHAnsi" w:cstheme="minorHAnsi"/>
                <w:color w:val="000000" w:themeColor="text1"/>
                <w:szCs w:val="22"/>
                <w:lang w:val="de-DE"/>
              </w:rPr>
              <w:t>Abs. 3</w:t>
            </w:r>
            <w:r w:rsidRPr="00C77207">
              <w:rPr>
                <w:rFonts w:asciiTheme="minorHAnsi" w:hAnsiTheme="minorHAnsi" w:cstheme="minorHAnsi"/>
                <w:color w:val="000000" w:themeColor="text1"/>
                <w:szCs w:val="22"/>
                <w:lang w:val="de-DE"/>
              </w:rPr>
              <w:t xml:space="preserve"> StGB </w:t>
            </w:r>
          </w:p>
          <w:p w14:paraId="5C2A476E" w14:textId="4AE7FB9C" w:rsidR="007D37C7" w:rsidRPr="00C77207" w:rsidRDefault="00CC01B4" w:rsidP="008543B6">
            <w:pPr>
              <w:pStyle w:val="ListParagraph"/>
              <w:numPr>
                <w:ilvl w:val="0"/>
                <w:numId w:val="6"/>
              </w:numPr>
              <w:spacing w:line="240" w:lineRule="auto"/>
              <w:rPr>
                <w:rFonts w:asciiTheme="minorHAnsi" w:hAnsiTheme="minorHAnsi" w:cstheme="minorHAnsi"/>
                <w:color w:val="000000" w:themeColor="text1"/>
                <w:szCs w:val="22"/>
                <w:lang w:val="de-DE"/>
              </w:rPr>
            </w:pPr>
            <w:r w:rsidRPr="00C77207">
              <w:rPr>
                <w:rFonts w:asciiTheme="minorHAnsi" w:hAnsiTheme="minorHAnsi" w:cstheme="minorHAnsi"/>
                <w:color w:val="000000" w:themeColor="text1"/>
                <w:szCs w:val="22"/>
                <w:lang w:val="de-DE"/>
              </w:rPr>
              <w:t>und</w:t>
            </w:r>
            <w:r w:rsidR="0050297D" w:rsidRPr="00C77207">
              <w:rPr>
                <w:rFonts w:asciiTheme="minorHAnsi" w:hAnsiTheme="minorHAnsi" w:cstheme="minorHAnsi"/>
                <w:color w:val="000000" w:themeColor="text1"/>
                <w:szCs w:val="22"/>
                <w:lang w:val="de-DE"/>
              </w:rPr>
              <w:t xml:space="preserve"> bei Menschenhandel gem. §</w:t>
            </w:r>
            <w:r w:rsidR="00B1701C" w:rsidRPr="00C77207">
              <w:rPr>
                <w:rFonts w:asciiTheme="minorHAnsi" w:hAnsiTheme="minorHAnsi" w:cstheme="minorHAnsi"/>
                <w:color w:val="000000" w:themeColor="text1"/>
                <w:szCs w:val="22"/>
                <w:lang w:val="de-DE"/>
              </w:rPr>
              <w:t xml:space="preserve"> </w:t>
            </w:r>
            <w:r w:rsidR="0050297D" w:rsidRPr="00C77207">
              <w:rPr>
                <w:rFonts w:asciiTheme="minorHAnsi" w:hAnsiTheme="minorHAnsi" w:cstheme="minorHAnsi"/>
                <w:color w:val="000000" w:themeColor="text1"/>
                <w:szCs w:val="22"/>
                <w:lang w:val="de-DE"/>
              </w:rPr>
              <w:t>232 StGB und Zwangsprostitution gem. §</w:t>
            </w:r>
            <w:r w:rsidR="00B1701C" w:rsidRPr="00C77207">
              <w:rPr>
                <w:rFonts w:asciiTheme="minorHAnsi" w:hAnsiTheme="minorHAnsi" w:cstheme="minorHAnsi"/>
                <w:color w:val="000000" w:themeColor="text1"/>
                <w:szCs w:val="22"/>
                <w:lang w:val="de-DE"/>
              </w:rPr>
              <w:t xml:space="preserve"> </w:t>
            </w:r>
            <w:r w:rsidR="0050297D" w:rsidRPr="00C77207">
              <w:rPr>
                <w:rFonts w:asciiTheme="minorHAnsi" w:hAnsiTheme="minorHAnsi" w:cstheme="minorHAnsi"/>
                <w:color w:val="000000" w:themeColor="text1"/>
                <w:szCs w:val="22"/>
                <w:lang w:val="de-DE"/>
              </w:rPr>
              <w:t>232a StGB.</w:t>
            </w:r>
          </w:p>
          <w:p w14:paraId="1950CA55" w14:textId="26047FBC" w:rsidR="0026290A" w:rsidRPr="00C77207" w:rsidRDefault="0026290A" w:rsidP="008543B6">
            <w:pPr>
              <w:rPr>
                <w:rFonts w:cstheme="minorHAnsi"/>
                <w:color w:val="000000" w:themeColor="text1"/>
                <w:lang w:val="de-DE"/>
              </w:rPr>
            </w:pPr>
            <w:r w:rsidRPr="00C77207">
              <w:rPr>
                <w:rFonts w:cstheme="minorHAnsi"/>
                <w:color w:val="000000" w:themeColor="text1"/>
                <w:lang w:val="de-DE"/>
              </w:rPr>
              <w:t>Eine Ausnahme von der Erforderlichkeit des Mindeststrafmaßes kann nach §</w:t>
            </w:r>
            <w:r w:rsidR="00B1701C" w:rsidRPr="00C77207">
              <w:rPr>
                <w:rFonts w:cstheme="minorHAnsi"/>
                <w:color w:val="000000" w:themeColor="text1"/>
                <w:lang w:val="de-DE"/>
              </w:rPr>
              <w:t xml:space="preserve"> </w:t>
            </w:r>
            <w:r w:rsidRPr="00C77207">
              <w:rPr>
                <w:rFonts w:cstheme="minorHAnsi"/>
                <w:color w:val="000000" w:themeColor="text1"/>
                <w:lang w:val="de-DE"/>
              </w:rPr>
              <w:t>4 Nr.</w:t>
            </w:r>
            <w:r w:rsidR="00B1701C" w:rsidRPr="00C77207">
              <w:rPr>
                <w:rFonts w:cstheme="minorHAnsi"/>
                <w:color w:val="000000" w:themeColor="text1"/>
                <w:lang w:val="de-DE"/>
              </w:rPr>
              <w:t xml:space="preserve"> </w:t>
            </w:r>
            <w:r w:rsidRPr="00C77207">
              <w:rPr>
                <w:rFonts w:cstheme="minorHAnsi"/>
                <w:color w:val="000000" w:themeColor="text1"/>
                <w:lang w:val="de-DE"/>
              </w:rPr>
              <w:t>1 IRG gemacht werden, wenn sich die Tat als Anhangstat zu einer Auslieferungshaupttat darstellt, die die Voraussetzungen des §</w:t>
            </w:r>
            <w:r w:rsidR="00B1701C" w:rsidRPr="00C77207">
              <w:rPr>
                <w:rFonts w:cstheme="minorHAnsi"/>
                <w:color w:val="000000" w:themeColor="text1"/>
                <w:lang w:val="de-DE"/>
              </w:rPr>
              <w:t xml:space="preserve"> </w:t>
            </w:r>
            <w:r w:rsidRPr="00C77207">
              <w:rPr>
                <w:rFonts w:cstheme="minorHAnsi"/>
                <w:color w:val="000000" w:themeColor="text1"/>
                <w:lang w:val="de-DE"/>
              </w:rPr>
              <w:t xml:space="preserve">3 </w:t>
            </w:r>
            <w:r w:rsidR="00B1701C" w:rsidRPr="00C77207">
              <w:rPr>
                <w:rFonts w:cstheme="minorHAnsi"/>
                <w:color w:val="000000" w:themeColor="text1"/>
                <w:lang w:val="de-DE"/>
              </w:rPr>
              <w:t xml:space="preserve">Abs. 2 </w:t>
            </w:r>
            <w:r w:rsidRPr="00C77207">
              <w:rPr>
                <w:rFonts w:cstheme="minorHAnsi"/>
                <w:color w:val="000000" w:themeColor="text1"/>
                <w:lang w:val="de-DE"/>
              </w:rPr>
              <w:t>IRG erfüllt.</w:t>
            </w:r>
          </w:p>
          <w:p w14:paraId="22CC9586" w14:textId="77777777" w:rsidR="0026290A" w:rsidRPr="00C77207" w:rsidRDefault="0026290A" w:rsidP="008543B6">
            <w:pPr>
              <w:rPr>
                <w:rFonts w:cstheme="minorHAnsi"/>
                <w:color w:val="000000" w:themeColor="text1"/>
                <w:lang w:val="de-DE"/>
              </w:rPr>
            </w:pPr>
          </w:p>
          <w:p w14:paraId="66382834" w14:textId="4C3A4CE9" w:rsidR="0050297D" w:rsidRPr="00C77207" w:rsidRDefault="0026290A" w:rsidP="008543B6">
            <w:pPr>
              <w:rPr>
                <w:rFonts w:cstheme="minorHAnsi"/>
                <w:color w:val="000000" w:themeColor="text1"/>
                <w:lang w:val="de-DE"/>
              </w:rPr>
            </w:pPr>
            <w:r w:rsidRPr="00C77207">
              <w:rPr>
                <w:rFonts w:cstheme="minorHAnsi"/>
                <w:color w:val="000000" w:themeColor="text1"/>
                <w:lang w:val="de-DE"/>
              </w:rPr>
              <w:t>Nach §</w:t>
            </w:r>
            <w:r w:rsidR="00B1701C" w:rsidRPr="00C77207">
              <w:rPr>
                <w:rFonts w:cstheme="minorHAnsi"/>
                <w:color w:val="000000" w:themeColor="text1"/>
                <w:lang w:val="de-DE"/>
              </w:rPr>
              <w:t xml:space="preserve"> </w:t>
            </w:r>
            <w:r w:rsidRPr="00C77207">
              <w:rPr>
                <w:rFonts w:cstheme="minorHAnsi"/>
                <w:color w:val="000000" w:themeColor="text1"/>
                <w:lang w:val="de-DE"/>
              </w:rPr>
              <w:t xml:space="preserve">2 </w:t>
            </w:r>
            <w:r w:rsidR="00B1701C" w:rsidRPr="00C77207">
              <w:rPr>
                <w:rFonts w:cstheme="minorHAnsi"/>
                <w:color w:val="000000" w:themeColor="text1"/>
                <w:lang w:val="de-DE"/>
              </w:rPr>
              <w:t>Abs. 3</w:t>
            </w:r>
            <w:r w:rsidRPr="00C77207">
              <w:rPr>
                <w:rFonts w:cstheme="minorHAnsi"/>
                <w:color w:val="000000" w:themeColor="text1"/>
                <w:lang w:val="de-DE"/>
              </w:rPr>
              <w:t xml:space="preserve"> IRG, Art. 16 </w:t>
            </w:r>
            <w:r w:rsidR="00B1701C" w:rsidRPr="00C77207">
              <w:rPr>
                <w:rFonts w:cstheme="minorHAnsi"/>
                <w:color w:val="000000" w:themeColor="text1"/>
                <w:lang w:val="de-DE"/>
              </w:rPr>
              <w:t>Abs. 2</w:t>
            </w:r>
            <w:r w:rsidRPr="00C77207">
              <w:rPr>
                <w:rFonts w:cstheme="minorHAnsi"/>
                <w:color w:val="000000" w:themeColor="text1"/>
                <w:lang w:val="de-DE"/>
              </w:rPr>
              <w:t xml:space="preserve"> GG können deutsche Staatsangehörige, die Straftaten im Sinne des Art. 3 OPSC begangen haben, nicht ausgeliefert werden. Eine Ausnahme hiervon ist gem. Art. 16 </w:t>
            </w:r>
            <w:r w:rsidR="00B1701C" w:rsidRPr="00C77207">
              <w:rPr>
                <w:rFonts w:cstheme="minorHAnsi"/>
                <w:color w:val="000000" w:themeColor="text1"/>
                <w:lang w:val="de-DE"/>
              </w:rPr>
              <w:t>Abs. 2 S. 2</w:t>
            </w:r>
            <w:r w:rsidRPr="00C77207">
              <w:rPr>
                <w:rFonts w:cstheme="minorHAnsi"/>
                <w:color w:val="000000" w:themeColor="text1"/>
                <w:lang w:val="de-DE"/>
              </w:rPr>
              <w:t xml:space="preserve"> GG, §§</w:t>
            </w:r>
            <w:r w:rsidR="00B1701C" w:rsidRPr="00C77207">
              <w:rPr>
                <w:rFonts w:cstheme="minorHAnsi"/>
                <w:color w:val="000000" w:themeColor="text1"/>
                <w:lang w:val="de-DE"/>
              </w:rPr>
              <w:t xml:space="preserve"> </w:t>
            </w:r>
            <w:r w:rsidRPr="00C77207">
              <w:rPr>
                <w:rFonts w:cstheme="minorHAnsi"/>
                <w:color w:val="000000" w:themeColor="text1"/>
                <w:lang w:val="de-DE"/>
              </w:rPr>
              <w:t>80 ff. IRG möglich, wenn die Auslieferung an einen anderen Mitgliedstaat der EU erfolgen soll und ein maßgeblicher Bezug der Tat zum ersuchenden Mitgliedstaat besteht (§</w:t>
            </w:r>
            <w:r w:rsidR="00B1701C" w:rsidRPr="00C77207">
              <w:rPr>
                <w:rFonts w:cstheme="minorHAnsi"/>
                <w:color w:val="000000" w:themeColor="text1"/>
                <w:lang w:val="de-DE"/>
              </w:rPr>
              <w:t xml:space="preserve"> </w:t>
            </w:r>
            <w:r w:rsidRPr="00C77207">
              <w:rPr>
                <w:rFonts w:cstheme="minorHAnsi"/>
                <w:color w:val="000000" w:themeColor="text1"/>
                <w:lang w:val="de-DE"/>
              </w:rPr>
              <w:t xml:space="preserve">80 </w:t>
            </w:r>
            <w:r w:rsidR="00B1701C" w:rsidRPr="00C77207">
              <w:rPr>
                <w:rFonts w:cstheme="minorHAnsi"/>
                <w:color w:val="000000" w:themeColor="text1"/>
                <w:lang w:val="de-DE"/>
              </w:rPr>
              <w:t>Abs. 1 S. 1</w:t>
            </w:r>
            <w:r w:rsidRPr="00C77207">
              <w:rPr>
                <w:rFonts w:cstheme="minorHAnsi"/>
                <w:color w:val="000000" w:themeColor="text1"/>
                <w:lang w:val="de-DE"/>
              </w:rPr>
              <w:t xml:space="preserve"> Nr.</w:t>
            </w:r>
            <w:r w:rsidR="00B1701C" w:rsidRPr="00C77207">
              <w:rPr>
                <w:rFonts w:cstheme="minorHAnsi"/>
                <w:color w:val="000000" w:themeColor="text1"/>
                <w:lang w:val="de-DE"/>
              </w:rPr>
              <w:t xml:space="preserve"> </w:t>
            </w:r>
            <w:r w:rsidRPr="00C77207">
              <w:rPr>
                <w:rFonts w:cstheme="minorHAnsi"/>
                <w:color w:val="000000" w:themeColor="text1"/>
                <w:lang w:val="de-DE"/>
              </w:rPr>
              <w:t>2 IRG) oder kein maßgeblicher Bezug zum Inland besteht, die Tat nach deutschem Recht strafbar ist und bei einer Abwägung das Vertrauen des Täters in die Nichtauslieferung nicht überwiegt (§</w:t>
            </w:r>
            <w:r w:rsidR="00B1701C" w:rsidRPr="00C77207">
              <w:rPr>
                <w:rFonts w:cstheme="minorHAnsi"/>
                <w:color w:val="000000" w:themeColor="text1"/>
                <w:lang w:val="de-DE"/>
              </w:rPr>
              <w:t xml:space="preserve"> </w:t>
            </w:r>
            <w:r w:rsidRPr="00C77207">
              <w:rPr>
                <w:rFonts w:cstheme="minorHAnsi"/>
                <w:color w:val="000000" w:themeColor="text1"/>
                <w:lang w:val="de-DE"/>
              </w:rPr>
              <w:t xml:space="preserve">80 </w:t>
            </w:r>
            <w:r w:rsidR="00B1701C" w:rsidRPr="00C77207">
              <w:rPr>
                <w:rFonts w:cstheme="minorHAnsi"/>
                <w:color w:val="000000" w:themeColor="text1"/>
                <w:lang w:val="de-DE"/>
              </w:rPr>
              <w:t>Abs. 2 S. 1</w:t>
            </w:r>
            <w:r w:rsidRPr="00C77207">
              <w:rPr>
                <w:rFonts w:cstheme="minorHAnsi"/>
                <w:color w:val="000000" w:themeColor="text1"/>
                <w:lang w:val="de-DE"/>
              </w:rPr>
              <w:t xml:space="preserve"> Nr.</w:t>
            </w:r>
            <w:r w:rsidR="00B1701C" w:rsidRPr="00C77207">
              <w:rPr>
                <w:rFonts w:cstheme="minorHAnsi"/>
                <w:color w:val="000000" w:themeColor="text1"/>
                <w:lang w:val="de-DE"/>
              </w:rPr>
              <w:t xml:space="preserve"> </w:t>
            </w:r>
            <w:r w:rsidRPr="00C77207">
              <w:rPr>
                <w:rFonts w:cstheme="minorHAnsi"/>
                <w:color w:val="000000" w:themeColor="text1"/>
                <w:lang w:val="de-DE"/>
              </w:rPr>
              <w:t>2, 3 IRG).</w:t>
            </w:r>
          </w:p>
          <w:p w14:paraId="54AE744C" w14:textId="43B071A2" w:rsidR="00DF2393" w:rsidRPr="00C77207" w:rsidRDefault="00DF2393" w:rsidP="008543B6">
            <w:pPr>
              <w:rPr>
                <w:rFonts w:cstheme="minorHAnsi"/>
                <w:color w:val="000000" w:themeColor="text1"/>
                <w:lang w:val="de-DE"/>
              </w:rPr>
            </w:pPr>
          </w:p>
          <w:p w14:paraId="63042E83" w14:textId="555D3975" w:rsidR="00DF2393" w:rsidRPr="00C77207" w:rsidRDefault="00DF2393" w:rsidP="008543B6">
            <w:pPr>
              <w:rPr>
                <w:rFonts w:cstheme="minorHAnsi"/>
                <w:b/>
                <w:color w:val="000000" w:themeColor="text1"/>
                <w:lang w:val="de-DE"/>
              </w:rPr>
            </w:pPr>
            <w:r w:rsidRPr="00C77207">
              <w:rPr>
                <w:rFonts w:cstheme="minorHAnsi"/>
                <w:b/>
                <w:color w:val="000000" w:themeColor="text1"/>
                <w:lang w:val="de-DE"/>
              </w:rPr>
              <w:t>EU-Recht</w:t>
            </w:r>
          </w:p>
          <w:p w14:paraId="1BEAA980" w14:textId="77777777" w:rsidR="0026290A" w:rsidRPr="00C77207" w:rsidRDefault="0026290A" w:rsidP="008543B6">
            <w:pPr>
              <w:rPr>
                <w:rFonts w:cstheme="minorHAnsi"/>
                <w:color w:val="000000" w:themeColor="text1"/>
                <w:lang w:val="de-DE"/>
              </w:rPr>
            </w:pPr>
          </w:p>
          <w:p w14:paraId="0A1CD152" w14:textId="231DA04A" w:rsidR="0050297D" w:rsidRPr="00C77207" w:rsidRDefault="0050297D" w:rsidP="008543B6">
            <w:pPr>
              <w:rPr>
                <w:rFonts w:cstheme="minorHAnsi"/>
                <w:color w:val="000000" w:themeColor="text1"/>
                <w:lang w:val="de-DE"/>
              </w:rPr>
            </w:pPr>
            <w:r w:rsidRPr="00C77207">
              <w:rPr>
                <w:rFonts w:cstheme="minorHAnsi"/>
                <w:color w:val="000000" w:themeColor="text1"/>
                <w:lang w:val="de-DE"/>
              </w:rPr>
              <w:t xml:space="preserve">Nach Art. 2 </w:t>
            </w:r>
            <w:r w:rsidR="007E664C" w:rsidRPr="00C77207">
              <w:rPr>
                <w:rFonts w:cstheme="minorHAnsi"/>
                <w:color w:val="000000" w:themeColor="text1"/>
                <w:lang w:val="de-DE"/>
              </w:rPr>
              <w:t>Abs. 1</w:t>
            </w:r>
            <w:r w:rsidRPr="00C77207">
              <w:rPr>
                <w:rFonts w:cstheme="minorHAnsi"/>
                <w:color w:val="000000" w:themeColor="text1"/>
                <w:lang w:val="de-DE"/>
              </w:rPr>
              <w:t xml:space="preserve"> des </w:t>
            </w:r>
            <w:r w:rsidR="007E664C" w:rsidRPr="00C77207">
              <w:rPr>
                <w:rFonts w:cstheme="minorHAnsi"/>
                <w:color w:val="000000" w:themeColor="text1"/>
                <w:lang w:val="de-DE"/>
              </w:rPr>
              <w:t>EU-Auslieferungsübereinkommens</w:t>
            </w:r>
            <w:r w:rsidRPr="00C77207">
              <w:rPr>
                <w:rStyle w:val="FootnoteReference"/>
                <w:rFonts w:cstheme="minorHAnsi"/>
                <w:color w:val="000000" w:themeColor="text1"/>
                <w:lang w:val="de-DE"/>
              </w:rPr>
              <w:footnoteReference w:id="8"/>
            </w:r>
            <w:r w:rsidRPr="00C77207">
              <w:rPr>
                <w:rFonts w:cstheme="minorHAnsi"/>
                <w:color w:val="000000" w:themeColor="text1"/>
                <w:lang w:val="de-DE"/>
              </w:rPr>
              <w:t xml:space="preserve"> ist zur Auslieferung erforderlich, dass die Handlung im ersuchenden und im ersuchten Mitgliedstaat </w:t>
            </w:r>
            <w:r w:rsidR="007A7B10" w:rsidRPr="00C77207">
              <w:rPr>
                <w:rFonts w:cstheme="minorHAnsi"/>
                <w:color w:val="000000" w:themeColor="text1"/>
                <w:lang w:val="de-DE"/>
              </w:rPr>
              <w:t>im Höchstmaß von mind. einem Jahr oder mit einer schwereren Strafe bedroht ist</w:t>
            </w:r>
            <w:r w:rsidR="00BE5693" w:rsidRPr="00C77207">
              <w:rPr>
                <w:rFonts w:cstheme="minorHAnsi"/>
                <w:color w:val="000000" w:themeColor="text1"/>
                <w:lang w:val="de-DE"/>
              </w:rPr>
              <w:t xml:space="preserve">, was für die jeweiligen Straftatbestände einzeln zu beurteilen sein wird. Eine Ausnahme ist bei sexueller Ausbeutung von Kindern und Kinderpornographie gem. Art. 2 </w:t>
            </w:r>
            <w:r w:rsidR="007E664C" w:rsidRPr="00C77207">
              <w:rPr>
                <w:rFonts w:cstheme="minorHAnsi"/>
                <w:color w:val="000000" w:themeColor="text1"/>
                <w:lang w:val="de-DE"/>
              </w:rPr>
              <w:t>Abs. 1</w:t>
            </w:r>
            <w:r w:rsidR="00BE5693" w:rsidRPr="00C77207">
              <w:rPr>
                <w:rFonts w:cstheme="minorHAnsi"/>
                <w:color w:val="000000" w:themeColor="text1"/>
                <w:lang w:val="de-DE"/>
              </w:rPr>
              <w:t xml:space="preserve"> des Rahmenbeschlusses des Rates vom 13.6.2002 (2002/584/JI) möglich (</w:t>
            </w:r>
            <w:r w:rsidR="00BE5693" w:rsidRPr="00C77207">
              <w:rPr>
                <w:rFonts w:cstheme="minorHAnsi"/>
                <w:i/>
                <w:color w:val="000000" w:themeColor="text1"/>
                <w:lang w:val="de-DE"/>
              </w:rPr>
              <w:t>siehe dazu Punkt 3</w:t>
            </w:r>
            <w:r w:rsidR="00BE5693" w:rsidRPr="00C77207">
              <w:rPr>
                <w:rFonts w:cstheme="minorHAnsi"/>
                <w:color w:val="000000" w:themeColor="text1"/>
                <w:lang w:val="de-DE"/>
              </w:rPr>
              <w:t>).</w:t>
            </w:r>
          </w:p>
          <w:p w14:paraId="15F281D1" w14:textId="74722F9E" w:rsidR="0050297D" w:rsidRPr="00C77207" w:rsidRDefault="0050297D" w:rsidP="008543B6">
            <w:pPr>
              <w:rPr>
                <w:rFonts w:cstheme="minorHAnsi"/>
                <w:color w:val="000000" w:themeColor="text1"/>
                <w:lang w:val="de-DE"/>
              </w:rPr>
            </w:pPr>
          </w:p>
          <w:p w14:paraId="5B99B2BD" w14:textId="681D3EF7" w:rsidR="00DF2393" w:rsidRPr="00C77207" w:rsidRDefault="00DF2393" w:rsidP="008543B6">
            <w:pPr>
              <w:rPr>
                <w:rFonts w:cstheme="minorHAnsi"/>
                <w:b/>
                <w:color w:val="000000" w:themeColor="text1"/>
                <w:lang w:val="de-DE"/>
              </w:rPr>
            </w:pPr>
            <w:r w:rsidRPr="00C77207">
              <w:rPr>
                <w:rFonts w:cstheme="minorHAnsi"/>
                <w:b/>
                <w:color w:val="000000" w:themeColor="text1"/>
                <w:lang w:val="de-DE"/>
              </w:rPr>
              <w:t>Völkerrechtliche Vereinbarungen</w:t>
            </w:r>
          </w:p>
          <w:p w14:paraId="45057D32" w14:textId="168FCDAC" w:rsidR="00DF2393" w:rsidRPr="00C77207" w:rsidRDefault="00DF2393" w:rsidP="008543B6">
            <w:pPr>
              <w:rPr>
                <w:rFonts w:cstheme="minorHAnsi"/>
                <w:color w:val="000000" w:themeColor="text1"/>
                <w:lang w:val="de-DE"/>
              </w:rPr>
            </w:pPr>
            <w:r w:rsidRPr="00C77207">
              <w:rPr>
                <w:rFonts w:cstheme="minorHAnsi"/>
                <w:color w:val="000000" w:themeColor="text1"/>
                <w:lang w:val="de-DE"/>
              </w:rPr>
              <w:t xml:space="preserve">Bilaterale Auslieferungsabkommen existieren </w:t>
            </w:r>
            <w:r w:rsidR="004B4D25" w:rsidRPr="00C77207">
              <w:rPr>
                <w:rFonts w:cstheme="minorHAnsi"/>
                <w:color w:val="000000" w:themeColor="text1"/>
                <w:lang w:val="de-DE"/>
              </w:rPr>
              <w:t xml:space="preserve">u.a. </w:t>
            </w:r>
            <w:r w:rsidRPr="00C77207">
              <w:rPr>
                <w:rFonts w:cstheme="minorHAnsi"/>
                <w:color w:val="000000" w:themeColor="text1"/>
                <w:lang w:val="de-DE"/>
              </w:rPr>
              <w:t>mit Australien, Hongkong, Indien, Kanada, Tunesien und den USA.</w:t>
            </w:r>
            <w:r w:rsidR="004B4D25" w:rsidRPr="00C77207">
              <w:rPr>
                <w:rStyle w:val="FootnoteReference"/>
                <w:rFonts w:cstheme="minorHAnsi"/>
                <w:color w:val="000000" w:themeColor="text1"/>
                <w:lang w:val="de-DE"/>
              </w:rPr>
              <w:footnoteReference w:id="9"/>
            </w:r>
            <w:r w:rsidR="004B4D25" w:rsidRPr="00C77207">
              <w:rPr>
                <w:rFonts w:cstheme="minorHAnsi"/>
                <w:color w:val="000000" w:themeColor="text1"/>
                <w:lang w:val="de-DE"/>
              </w:rPr>
              <w:t xml:space="preserve"> Insoweit sind keine speziellen Regelungen für die Auslieferung wegen Taten nach Art. 3 OPSC ersichtlich.</w:t>
            </w:r>
          </w:p>
          <w:p w14:paraId="1CADDF48" w14:textId="58A25602" w:rsidR="005F1BE7" w:rsidRPr="00C77207" w:rsidRDefault="005F1BE7" w:rsidP="008543B6">
            <w:pPr>
              <w:rPr>
                <w:rFonts w:cstheme="minorHAnsi"/>
                <w:color w:val="000000" w:themeColor="text1"/>
                <w:lang w:val="de-DE"/>
              </w:rPr>
            </w:pPr>
          </w:p>
        </w:tc>
      </w:tr>
      <w:tr w:rsidR="001C2BA0" w:rsidRPr="00F206A4" w14:paraId="220F0B36" w14:textId="77777777" w:rsidTr="00A57D8B">
        <w:trPr>
          <w:trHeight w:val="20"/>
        </w:trPr>
        <w:tc>
          <w:tcPr>
            <w:tcW w:w="425" w:type="dxa"/>
          </w:tcPr>
          <w:p w14:paraId="32D5935A" w14:textId="77777777" w:rsidR="001C2BA0" w:rsidRPr="005F1BE7" w:rsidRDefault="001C2BA0" w:rsidP="001C2BA0">
            <w:pPr>
              <w:numPr>
                <w:ilvl w:val="0"/>
                <w:numId w:val="2"/>
              </w:numPr>
              <w:contextualSpacing/>
              <w:rPr>
                <w:rFonts w:ascii="Calibri" w:hAnsi="Calibri" w:cs="Calibri"/>
                <w:szCs w:val="28"/>
                <w:lang w:val="de-DE"/>
              </w:rPr>
            </w:pPr>
          </w:p>
        </w:tc>
        <w:tc>
          <w:tcPr>
            <w:tcW w:w="5387" w:type="dxa"/>
          </w:tcPr>
          <w:p w14:paraId="4682B1B2" w14:textId="1B2FAA12" w:rsidR="001C2BA0" w:rsidRPr="001467E1" w:rsidRDefault="001467E1" w:rsidP="001C2BA0">
            <w:pPr>
              <w:rPr>
                <w:rFonts w:ascii="Calibri" w:hAnsi="Calibri" w:cs="Calibri"/>
                <w:color w:val="000000" w:themeColor="text1"/>
                <w:lang w:val="de-DE"/>
              </w:rPr>
            </w:pPr>
            <w:r w:rsidRPr="001467E1">
              <w:rPr>
                <w:rFonts w:eastAsia="Calibri" w:cstheme="minorHAnsi"/>
                <w:color w:val="000000" w:themeColor="text1"/>
                <w:lang w:val="de-DE"/>
              </w:rPr>
              <w:t xml:space="preserve">Die Anwendung des Grundsatzes der </w:t>
            </w:r>
            <w:r w:rsidRPr="001467E1">
              <w:rPr>
                <w:rFonts w:eastAsia="Calibri" w:cstheme="minorHAnsi"/>
                <w:b/>
                <w:color w:val="000000" w:themeColor="text1"/>
                <w:lang w:val="de-DE"/>
              </w:rPr>
              <w:t>beiderseitigen Strafbarkeit</w:t>
            </w:r>
            <w:r w:rsidRPr="001467E1">
              <w:rPr>
                <w:rFonts w:eastAsia="Calibri" w:cstheme="minorHAnsi"/>
                <w:color w:val="000000" w:themeColor="text1"/>
                <w:lang w:val="de-DE"/>
              </w:rPr>
              <w:t xml:space="preserve"> </w:t>
            </w:r>
            <w:r w:rsidR="00BA1863">
              <w:rPr>
                <w:rFonts w:eastAsia="Calibri" w:cstheme="minorHAnsi"/>
                <w:color w:val="000000" w:themeColor="text1"/>
                <w:lang w:val="de-DE"/>
              </w:rPr>
              <w:t xml:space="preserve">ist </w:t>
            </w:r>
            <w:r w:rsidRPr="001467E1">
              <w:rPr>
                <w:rFonts w:eastAsia="Calibri" w:cstheme="minorHAnsi"/>
                <w:color w:val="000000" w:themeColor="text1"/>
                <w:lang w:val="de-DE"/>
              </w:rPr>
              <w:t>für die extraterritoriale Gerichtsbarkeit oder die Auslieferung bei Sexualstraftaten gegen Kinder NICHT erforderlich.</w:t>
            </w:r>
          </w:p>
        </w:tc>
        <w:tc>
          <w:tcPr>
            <w:tcW w:w="1701" w:type="dxa"/>
          </w:tcPr>
          <w:p w14:paraId="3F2B27B7" w14:textId="564EB9AC" w:rsidR="001C2BA0" w:rsidRPr="00CC01B4" w:rsidRDefault="00C55A34" w:rsidP="001C2BA0">
            <w:pPr>
              <w:rPr>
                <w:rFonts w:ascii="Calibri" w:hAnsi="Calibri" w:cs="Calibri"/>
                <w:color w:val="000000" w:themeColor="text1"/>
                <w:lang w:val="de-DE"/>
              </w:rPr>
            </w:pPr>
            <w:r>
              <w:rPr>
                <w:rFonts w:ascii="Calibri" w:hAnsi="Calibri" w:cs="Calibri"/>
                <w:color w:val="000000" w:themeColor="text1"/>
                <w:lang w:val="de-DE"/>
              </w:rPr>
              <w:t>Teilweise</w:t>
            </w:r>
          </w:p>
        </w:tc>
        <w:tc>
          <w:tcPr>
            <w:tcW w:w="5523" w:type="dxa"/>
          </w:tcPr>
          <w:p w14:paraId="4AD68AF3" w14:textId="38C5AA06" w:rsidR="00EF4341" w:rsidRPr="00C77207" w:rsidRDefault="00EF4341" w:rsidP="008543B6">
            <w:pPr>
              <w:rPr>
                <w:rFonts w:cstheme="minorHAnsi"/>
                <w:b/>
                <w:color w:val="000000" w:themeColor="text1"/>
                <w:lang w:val="de-DE"/>
              </w:rPr>
            </w:pPr>
            <w:r w:rsidRPr="00C77207">
              <w:rPr>
                <w:rFonts w:cstheme="minorHAnsi"/>
                <w:b/>
                <w:color w:val="000000" w:themeColor="text1"/>
                <w:lang w:val="de-DE"/>
              </w:rPr>
              <w:t>Auslieferung</w:t>
            </w:r>
          </w:p>
          <w:p w14:paraId="121869D2" w14:textId="349A016D" w:rsidR="00EF4341" w:rsidRPr="00C77207" w:rsidRDefault="00EF4341" w:rsidP="008543B6">
            <w:pPr>
              <w:rPr>
                <w:rFonts w:cstheme="minorHAnsi"/>
                <w:color w:val="000000" w:themeColor="text1"/>
                <w:lang w:val="de-DE"/>
              </w:rPr>
            </w:pPr>
            <w:r w:rsidRPr="00C77207">
              <w:rPr>
                <w:rFonts w:cstheme="minorHAnsi"/>
                <w:color w:val="000000" w:themeColor="text1"/>
                <w:lang w:val="de-DE"/>
              </w:rPr>
              <w:t>Nach §§</w:t>
            </w:r>
            <w:r w:rsidR="007E664C" w:rsidRPr="00C77207">
              <w:rPr>
                <w:rFonts w:cstheme="minorHAnsi"/>
                <w:color w:val="000000" w:themeColor="text1"/>
                <w:lang w:val="de-DE"/>
              </w:rPr>
              <w:t xml:space="preserve"> </w:t>
            </w:r>
            <w:r w:rsidRPr="00C77207">
              <w:rPr>
                <w:rFonts w:cstheme="minorHAnsi"/>
                <w:color w:val="000000" w:themeColor="text1"/>
                <w:lang w:val="de-DE"/>
              </w:rPr>
              <w:t xml:space="preserve">2, 3 </w:t>
            </w:r>
            <w:r w:rsidR="007E664C" w:rsidRPr="00C77207">
              <w:rPr>
                <w:rFonts w:cstheme="minorHAnsi"/>
                <w:color w:val="000000" w:themeColor="text1"/>
                <w:lang w:val="de-DE"/>
              </w:rPr>
              <w:t>Abs. 1</w:t>
            </w:r>
            <w:r w:rsidRPr="00C77207">
              <w:rPr>
                <w:rFonts w:cstheme="minorHAnsi"/>
                <w:color w:val="000000" w:themeColor="text1"/>
                <w:lang w:val="de-DE"/>
              </w:rPr>
              <w:t xml:space="preserve"> IRG ist die Auslieferung nur zulässig, wenn die Handlung sowohl im ausländischen Staat als auch nach deutschem Recht eine rechtswidrige Tat ist.</w:t>
            </w:r>
          </w:p>
          <w:p w14:paraId="34C57479" w14:textId="16120AE5" w:rsidR="00EF4341" w:rsidRPr="00C77207" w:rsidRDefault="00EF4341" w:rsidP="008543B6">
            <w:pPr>
              <w:rPr>
                <w:rFonts w:cstheme="minorHAnsi"/>
                <w:color w:val="000000" w:themeColor="text1"/>
                <w:lang w:val="de-DE"/>
              </w:rPr>
            </w:pPr>
          </w:p>
          <w:p w14:paraId="229F276A" w14:textId="4A5C6CAD" w:rsidR="001C2BA0" w:rsidRPr="00C77207" w:rsidRDefault="00EF4341" w:rsidP="008543B6">
            <w:pPr>
              <w:rPr>
                <w:rFonts w:cstheme="minorHAnsi"/>
                <w:color w:val="000000" w:themeColor="text1"/>
                <w:lang w:val="de-DE"/>
              </w:rPr>
            </w:pPr>
            <w:r w:rsidRPr="00C77207">
              <w:rPr>
                <w:rFonts w:cstheme="minorHAnsi"/>
                <w:color w:val="000000" w:themeColor="text1"/>
                <w:lang w:val="de-DE"/>
              </w:rPr>
              <w:t>Für Auslieferungen</w:t>
            </w:r>
            <w:r w:rsidR="00270BEE" w:rsidRPr="00C77207">
              <w:rPr>
                <w:rFonts w:cstheme="minorHAnsi"/>
                <w:color w:val="000000" w:themeColor="text1"/>
                <w:lang w:val="de-DE"/>
              </w:rPr>
              <w:t xml:space="preserve"> innerhalb der EU gilt nach Art. 2 </w:t>
            </w:r>
            <w:r w:rsidR="007E664C" w:rsidRPr="00C77207">
              <w:rPr>
                <w:rFonts w:cstheme="minorHAnsi"/>
                <w:color w:val="000000" w:themeColor="text1"/>
                <w:lang w:val="de-DE"/>
              </w:rPr>
              <w:t>Abs. 1</w:t>
            </w:r>
            <w:r w:rsidR="00270BEE" w:rsidRPr="00C77207">
              <w:rPr>
                <w:rFonts w:cstheme="minorHAnsi"/>
                <w:color w:val="000000" w:themeColor="text1"/>
                <w:lang w:val="de-DE"/>
              </w:rPr>
              <w:t xml:space="preserve"> EU-Auslieferungsübereinkommen auch das Prinzip der beiderseitigen Strafbarkeit. </w:t>
            </w:r>
            <w:r w:rsidR="002E444B" w:rsidRPr="00C77207">
              <w:rPr>
                <w:rFonts w:cstheme="minorHAnsi"/>
                <w:color w:val="000000" w:themeColor="text1"/>
                <w:lang w:val="de-DE"/>
              </w:rPr>
              <w:t xml:space="preserve">Art. 2 </w:t>
            </w:r>
            <w:r w:rsidR="007E664C" w:rsidRPr="00C77207">
              <w:rPr>
                <w:rFonts w:cstheme="minorHAnsi"/>
                <w:color w:val="000000" w:themeColor="text1"/>
                <w:lang w:val="de-DE"/>
              </w:rPr>
              <w:t>Abs. 2</w:t>
            </w:r>
            <w:r w:rsidR="002E444B" w:rsidRPr="00C77207">
              <w:rPr>
                <w:rFonts w:cstheme="minorHAnsi"/>
                <w:color w:val="000000" w:themeColor="text1"/>
                <w:lang w:val="de-DE"/>
              </w:rPr>
              <w:t xml:space="preserve"> des </w:t>
            </w:r>
            <w:r w:rsidR="00021B0F" w:rsidRPr="00C77207">
              <w:rPr>
                <w:rFonts w:cstheme="minorHAnsi"/>
                <w:color w:val="000000" w:themeColor="text1"/>
                <w:lang w:val="de-DE"/>
              </w:rPr>
              <w:t>Rahmenbeschlusses des Rates vom 13.6.2002 (2002/584/JI)</w:t>
            </w:r>
            <w:r w:rsidR="00270BEE" w:rsidRPr="00C77207">
              <w:rPr>
                <w:rFonts w:cstheme="minorHAnsi"/>
                <w:color w:val="000000" w:themeColor="text1"/>
                <w:lang w:val="de-DE"/>
              </w:rPr>
              <w:t xml:space="preserve"> macht</w:t>
            </w:r>
            <w:r w:rsidR="00021B0F" w:rsidRPr="00C77207">
              <w:rPr>
                <w:rFonts w:cstheme="minorHAnsi"/>
                <w:color w:val="000000" w:themeColor="text1"/>
                <w:lang w:val="de-DE"/>
              </w:rPr>
              <w:t xml:space="preserve"> </w:t>
            </w:r>
            <w:r w:rsidRPr="00C77207">
              <w:rPr>
                <w:rFonts w:cstheme="minorHAnsi"/>
                <w:color w:val="000000" w:themeColor="text1"/>
                <w:lang w:val="de-DE"/>
              </w:rPr>
              <w:t xml:space="preserve">eine Ausnahme vom Prinzip der beiderseitigen Strafbarkeit bei der Übergabe aufgrund </w:t>
            </w:r>
            <w:r w:rsidRPr="00C77207">
              <w:rPr>
                <w:rFonts w:cstheme="minorHAnsi"/>
                <w:color w:val="000000" w:themeColor="text1"/>
                <w:lang w:val="de-DE"/>
              </w:rPr>
              <w:lastRenderedPageBreak/>
              <w:t xml:space="preserve">eines Europäischen Haftbefehls </w:t>
            </w:r>
            <w:r w:rsidR="002E444B" w:rsidRPr="00C77207">
              <w:rPr>
                <w:rFonts w:cstheme="minorHAnsi"/>
                <w:color w:val="000000" w:themeColor="text1"/>
                <w:lang w:val="de-DE"/>
              </w:rPr>
              <w:t>bei sexueller Ausbeutung von Kindern und Kinderpornographie sowie Menschenhandel</w:t>
            </w:r>
            <w:r w:rsidR="00021B0F" w:rsidRPr="00C77207">
              <w:rPr>
                <w:rFonts w:cstheme="minorHAnsi"/>
                <w:color w:val="000000" w:themeColor="text1"/>
                <w:lang w:val="de-DE"/>
              </w:rPr>
              <w:t>, wenn die Tat nach dem Recht des Ausstellungsmitgliedstaats mit einer Freiheitsstrafe im Höchstmaß von mind. drei Jahren bedroht ist</w:t>
            </w:r>
            <w:r w:rsidR="00B50800" w:rsidRPr="00C77207">
              <w:rPr>
                <w:rFonts w:cstheme="minorHAnsi"/>
                <w:color w:val="000000" w:themeColor="text1"/>
                <w:lang w:val="de-DE"/>
              </w:rPr>
              <w:t>. Dies wurde in</w:t>
            </w:r>
            <w:r w:rsidR="00270BEE" w:rsidRPr="00C77207">
              <w:rPr>
                <w:rFonts w:cstheme="minorHAnsi"/>
                <w:color w:val="000000" w:themeColor="text1"/>
                <w:lang w:val="de-DE"/>
              </w:rPr>
              <w:t xml:space="preserve"> §</w:t>
            </w:r>
            <w:r w:rsidR="007E664C" w:rsidRPr="00C77207">
              <w:rPr>
                <w:rFonts w:cstheme="minorHAnsi"/>
                <w:color w:val="000000" w:themeColor="text1"/>
                <w:lang w:val="de-DE"/>
              </w:rPr>
              <w:t xml:space="preserve"> </w:t>
            </w:r>
            <w:r w:rsidR="00270BEE" w:rsidRPr="00C77207">
              <w:rPr>
                <w:rFonts w:cstheme="minorHAnsi"/>
                <w:color w:val="000000" w:themeColor="text1"/>
                <w:lang w:val="de-DE"/>
              </w:rPr>
              <w:t>81 Nr.</w:t>
            </w:r>
            <w:r w:rsidR="007E664C" w:rsidRPr="00C77207">
              <w:rPr>
                <w:rFonts w:cstheme="minorHAnsi"/>
                <w:color w:val="000000" w:themeColor="text1"/>
                <w:lang w:val="de-DE"/>
              </w:rPr>
              <w:t xml:space="preserve"> </w:t>
            </w:r>
            <w:r w:rsidR="00270BEE" w:rsidRPr="00C77207">
              <w:rPr>
                <w:rFonts w:cstheme="minorHAnsi"/>
                <w:color w:val="000000" w:themeColor="text1"/>
                <w:lang w:val="de-DE"/>
              </w:rPr>
              <w:t>4 IRG</w:t>
            </w:r>
            <w:r w:rsidR="00B50800" w:rsidRPr="00C77207">
              <w:rPr>
                <w:rFonts w:cstheme="minorHAnsi"/>
                <w:color w:val="000000" w:themeColor="text1"/>
                <w:lang w:val="de-DE"/>
              </w:rPr>
              <w:t xml:space="preserve"> umgesetzt, der insoweit europarechtskonform auszulegen ist.</w:t>
            </w:r>
            <w:r w:rsidR="00BA1216" w:rsidRPr="00C77207">
              <w:rPr>
                <w:rFonts w:cstheme="minorHAnsi"/>
                <w:color w:val="000000" w:themeColor="text1"/>
                <w:lang w:val="de-DE"/>
              </w:rPr>
              <w:t xml:space="preserve"> Ob eine Handlung eine Katalogtat der sexuellen Ausbeutung</w:t>
            </w:r>
            <w:r w:rsidR="00D8535B" w:rsidRPr="00C77207">
              <w:rPr>
                <w:rFonts w:cstheme="minorHAnsi"/>
                <w:color w:val="000000" w:themeColor="text1"/>
                <w:lang w:val="de-DE"/>
              </w:rPr>
              <w:t xml:space="preserve"> von Kindern und Kinderpornographie darstellt, bestimmt sich nach dem Recht des Mitgliedsstaats, der den Europäischen Haftbefehl ausstellt.</w:t>
            </w:r>
            <w:r w:rsidR="00D8535B" w:rsidRPr="00C77207">
              <w:rPr>
                <w:rStyle w:val="FootnoteReference"/>
                <w:rFonts w:cstheme="minorHAnsi"/>
                <w:color w:val="000000" w:themeColor="text1"/>
                <w:lang w:val="de-DE"/>
              </w:rPr>
              <w:footnoteReference w:id="10"/>
            </w:r>
          </w:p>
          <w:p w14:paraId="7AFD4F02" w14:textId="77777777" w:rsidR="00270BEE" w:rsidRPr="00C77207" w:rsidRDefault="00270BEE" w:rsidP="008543B6">
            <w:pPr>
              <w:rPr>
                <w:rFonts w:cstheme="minorHAnsi"/>
                <w:color w:val="000000" w:themeColor="text1"/>
                <w:lang w:val="de-DE"/>
              </w:rPr>
            </w:pPr>
          </w:p>
          <w:p w14:paraId="14195458" w14:textId="77777777" w:rsidR="00270BEE" w:rsidRPr="00C77207" w:rsidRDefault="00270BEE" w:rsidP="008543B6">
            <w:pPr>
              <w:rPr>
                <w:rFonts w:cstheme="minorHAnsi"/>
                <w:b/>
                <w:color w:val="000000" w:themeColor="text1"/>
                <w:lang w:val="de-DE"/>
              </w:rPr>
            </w:pPr>
            <w:r w:rsidRPr="00C77207">
              <w:rPr>
                <w:rFonts w:cstheme="minorHAnsi"/>
                <w:b/>
                <w:color w:val="000000" w:themeColor="text1"/>
                <w:lang w:val="de-DE"/>
              </w:rPr>
              <w:t>Extraterritoriale Strafbarkeit</w:t>
            </w:r>
          </w:p>
          <w:p w14:paraId="55111206" w14:textId="7DFF1B99" w:rsidR="00270BEE" w:rsidRPr="00C77207" w:rsidRDefault="00270BEE" w:rsidP="008543B6">
            <w:pPr>
              <w:rPr>
                <w:rFonts w:cstheme="minorHAnsi"/>
                <w:color w:val="000000" w:themeColor="text1"/>
                <w:lang w:val="de-DE"/>
              </w:rPr>
            </w:pPr>
            <w:r w:rsidRPr="00C77207">
              <w:rPr>
                <w:rFonts w:cstheme="minorHAnsi"/>
                <w:color w:val="000000" w:themeColor="text1"/>
                <w:lang w:val="de-DE"/>
              </w:rPr>
              <w:t>Für die Straftaten, die nicht von §§</w:t>
            </w:r>
            <w:r w:rsidR="007E664C" w:rsidRPr="00C77207">
              <w:rPr>
                <w:rFonts w:cstheme="minorHAnsi"/>
                <w:color w:val="000000" w:themeColor="text1"/>
                <w:lang w:val="de-DE"/>
              </w:rPr>
              <w:t xml:space="preserve"> </w:t>
            </w:r>
            <w:r w:rsidRPr="00C77207">
              <w:rPr>
                <w:rFonts w:cstheme="minorHAnsi"/>
                <w:color w:val="000000" w:themeColor="text1"/>
                <w:lang w:val="de-DE"/>
              </w:rPr>
              <w:t>5 Nr. 8, 6 Nr. 4, Nr.</w:t>
            </w:r>
            <w:r w:rsidR="007E664C" w:rsidRPr="00C77207">
              <w:rPr>
                <w:rFonts w:cstheme="minorHAnsi"/>
                <w:color w:val="000000" w:themeColor="text1"/>
                <w:lang w:val="de-DE"/>
              </w:rPr>
              <w:t xml:space="preserve"> </w:t>
            </w:r>
            <w:r w:rsidRPr="00C77207">
              <w:rPr>
                <w:rFonts w:cstheme="minorHAnsi"/>
                <w:color w:val="000000" w:themeColor="text1"/>
                <w:lang w:val="de-DE"/>
              </w:rPr>
              <w:t>6 StGB erfasst werden (siehe dazu die Auflistung bei Punkt 1), gilt nach §</w:t>
            </w:r>
            <w:r w:rsidR="007E664C" w:rsidRPr="00C77207">
              <w:rPr>
                <w:rFonts w:cstheme="minorHAnsi"/>
                <w:color w:val="000000" w:themeColor="text1"/>
                <w:lang w:val="de-DE"/>
              </w:rPr>
              <w:t xml:space="preserve"> </w:t>
            </w:r>
            <w:r w:rsidRPr="00C77207">
              <w:rPr>
                <w:rFonts w:cstheme="minorHAnsi"/>
                <w:color w:val="000000" w:themeColor="text1"/>
                <w:lang w:val="de-DE"/>
              </w:rPr>
              <w:t xml:space="preserve">7 </w:t>
            </w:r>
            <w:r w:rsidR="009E6982" w:rsidRPr="00C77207">
              <w:rPr>
                <w:rFonts w:cstheme="minorHAnsi"/>
                <w:color w:val="000000" w:themeColor="text1"/>
                <w:lang w:val="de-DE"/>
              </w:rPr>
              <w:t xml:space="preserve">StGB </w:t>
            </w:r>
            <w:r w:rsidRPr="00C77207">
              <w:rPr>
                <w:rFonts w:cstheme="minorHAnsi"/>
                <w:color w:val="000000" w:themeColor="text1"/>
                <w:lang w:val="de-DE"/>
              </w:rPr>
              <w:t xml:space="preserve">das deutsche Strafrecht nur, wenn die Tat sowohl nach deutschem Recht als auch am ausländischen Tatort mit Strafe bedroht ist. Dem liegt die Überlegung zugrunde, dass </w:t>
            </w:r>
            <w:r w:rsidR="009E6982" w:rsidRPr="00C77207">
              <w:rPr>
                <w:rFonts w:cstheme="minorHAnsi"/>
                <w:color w:val="000000" w:themeColor="text1"/>
                <w:lang w:val="de-DE"/>
              </w:rPr>
              <w:t>das deutsche Strafrecht keine Geltung beanspruchen soll, wenn der primär zuständige Tatortstaat die Tat nicht strafrechtlich verfolgen möchte.</w:t>
            </w:r>
            <w:r w:rsidR="009E6982" w:rsidRPr="00C77207">
              <w:rPr>
                <w:rStyle w:val="FootnoteReference"/>
                <w:rFonts w:cstheme="minorHAnsi"/>
                <w:color w:val="000000" w:themeColor="text1"/>
                <w:lang w:val="de-DE"/>
              </w:rPr>
              <w:footnoteReference w:id="11"/>
            </w:r>
            <w:r w:rsidRPr="00C77207">
              <w:rPr>
                <w:rFonts w:cstheme="minorHAnsi"/>
                <w:color w:val="000000" w:themeColor="text1"/>
                <w:lang w:val="de-DE"/>
              </w:rPr>
              <w:t xml:space="preserve"> </w:t>
            </w:r>
            <w:r w:rsidR="009E6982" w:rsidRPr="00C77207">
              <w:rPr>
                <w:rFonts w:cstheme="minorHAnsi"/>
                <w:color w:val="000000" w:themeColor="text1"/>
                <w:lang w:val="de-DE"/>
              </w:rPr>
              <w:t xml:space="preserve"> Dies gilt allerdings nur für einen Bruchteil der für Art. 3 OPSC relevanten deutschen Straftatbestände. Der Großteil der zu beurteilenden Handlungen fällt nach §</w:t>
            </w:r>
            <w:r w:rsidR="007E664C" w:rsidRPr="00C77207">
              <w:rPr>
                <w:rFonts w:cstheme="minorHAnsi"/>
                <w:color w:val="000000" w:themeColor="text1"/>
                <w:lang w:val="de-DE"/>
              </w:rPr>
              <w:t xml:space="preserve"> </w:t>
            </w:r>
            <w:r w:rsidR="009E6982" w:rsidRPr="00C77207">
              <w:rPr>
                <w:rFonts w:cstheme="minorHAnsi"/>
                <w:color w:val="000000" w:themeColor="text1"/>
                <w:lang w:val="de-DE"/>
              </w:rPr>
              <w:t>5 Nr. 8 bzw. §</w:t>
            </w:r>
            <w:r w:rsidR="007E664C" w:rsidRPr="00C77207">
              <w:rPr>
                <w:rFonts w:cstheme="minorHAnsi"/>
                <w:color w:val="000000" w:themeColor="text1"/>
                <w:lang w:val="de-DE"/>
              </w:rPr>
              <w:t xml:space="preserve"> </w:t>
            </w:r>
            <w:r w:rsidR="009E6982" w:rsidRPr="00C77207">
              <w:rPr>
                <w:rFonts w:cstheme="minorHAnsi"/>
                <w:color w:val="000000" w:themeColor="text1"/>
                <w:lang w:val="de-DE"/>
              </w:rPr>
              <w:t>6 Nr.</w:t>
            </w:r>
            <w:r w:rsidR="007E664C" w:rsidRPr="00C77207">
              <w:rPr>
                <w:rFonts w:cstheme="minorHAnsi"/>
                <w:color w:val="000000" w:themeColor="text1"/>
                <w:lang w:val="de-DE"/>
              </w:rPr>
              <w:t xml:space="preserve"> </w:t>
            </w:r>
            <w:r w:rsidR="009E6982" w:rsidRPr="00C77207">
              <w:rPr>
                <w:rFonts w:cstheme="minorHAnsi"/>
                <w:color w:val="000000" w:themeColor="text1"/>
                <w:lang w:val="de-DE"/>
              </w:rPr>
              <w:t xml:space="preserve">4, 6 StGB unabhängig vom Recht des Tatorts in den Geltungsbereich des deutschen Strafrechts. </w:t>
            </w:r>
          </w:p>
          <w:p w14:paraId="3BAAC9DE" w14:textId="2F727577" w:rsidR="00CC01B4" w:rsidRPr="00C77207" w:rsidRDefault="00CC01B4" w:rsidP="008543B6">
            <w:pPr>
              <w:rPr>
                <w:rFonts w:cstheme="minorHAnsi"/>
                <w:color w:val="000000" w:themeColor="text1"/>
                <w:lang w:val="de-DE"/>
              </w:rPr>
            </w:pPr>
          </w:p>
        </w:tc>
      </w:tr>
      <w:tr w:rsidR="001C2BA0" w:rsidRPr="00B1701C" w14:paraId="3DF8EE0A" w14:textId="77777777" w:rsidTr="00A57D8B">
        <w:trPr>
          <w:trHeight w:val="920"/>
        </w:trPr>
        <w:tc>
          <w:tcPr>
            <w:tcW w:w="425" w:type="dxa"/>
          </w:tcPr>
          <w:p w14:paraId="362DEDFC" w14:textId="77777777" w:rsidR="001C2BA0" w:rsidRPr="002E444B" w:rsidRDefault="001C2BA0" w:rsidP="001C2BA0">
            <w:pPr>
              <w:numPr>
                <w:ilvl w:val="0"/>
                <w:numId w:val="2"/>
              </w:numPr>
              <w:contextualSpacing/>
              <w:rPr>
                <w:rFonts w:ascii="Calibri" w:hAnsi="Calibri" w:cs="Calibri"/>
                <w:szCs w:val="28"/>
                <w:lang w:val="de-DE"/>
              </w:rPr>
            </w:pPr>
          </w:p>
        </w:tc>
        <w:tc>
          <w:tcPr>
            <w:tcW w:w="5387" w:type="dxa"/>
          </w:tcPr>
          <w:p w14:paraId="1B0FAE72" w14:textId="6FC3F198" w:rsidR="001C2BA0" w:rsidRPr="001467E1" w:rsidRDefault="001467E1" w:rsidP="001C2BA0">
            <w:pPr>
              <w:rPr>
                <w:rFonts w:ascii="Calibri" w:hAnsi="Calibri" w:cs="Calibri"/>
                <w:color w:val="000000" w:themeColor="text1"/>
                <w:lang w:val="de-DE"/>
              </w:rPr>
            </w:pPr>
            <w:r w:rsidRPr="001467E1">
              <w:rPr>
                <w:rFonts w:eastAsia="Calibri" w:cstheme="minorHAnsi"/>
                <w:color w:val="000000" w:themeColor="text1"/>
                <w:lang w:val="de-DE"/>
              </w:rPr>
              <w:t xml:space="preserve">Abschaffung der </w:t>
            </w:r>
            <w:r w:rsidRPr="001467E1">
              <w:rPr>
                <w:rFonts w:eastAsia="Calibri" w:cstheme="minorHAnsi"/>
                <w:b/>
                <w:color w:val="000000" w:themeColor="text1"/>
                <w:lang w:val="de-DE"/>
              </w:rPr>
              <w:t>Verjährungsfristen</w:t>
            </w:r>
            <w:r w:rsidRPr="001467E1">
              <w:rPr>
                <w:rFonts w:eastAsia="Calibri" w:cstheme="minorHAnsi"/>
                <w:color w:val="000000" w:themeColor="text1"/>
                <w:lang w:val="de-DE"/>
              </w:rPr>
              <w:t xml:space="preserve"> für die Strafverfolgung ALLER Straftaten sexu</w:t>
            </w:r>
            <w:r w:rsidR="00746460">
              <w:rPr>
                <w:rFonts w:eastAsia="Calibri" w:cstheme="minorHAnsi"/>
                <w:color w:val="000000" w:themeColor="text1"/>
                <w:lang w:val="de-DE"/>
              </w:rPr>
              <w:t>alisierter Gewalt an</w:t>
            </w:r>
            <w:r w:rsidRPr="001467E1">
              <w:rPr>
                <w:rFonts w:eastAsia="Calibri" w:cstheme="minorHAnsi"/>
                <w:color w:val="000000" w:themeColor="text1"/>
                <w:lang w:val="de-DE"/>
              </w:rPr>
              <w:t xml:space="preserve"> Kindern.</w:t>
            </w:r>
          </w:p>
        </w:tc>
        <w:tc>
          <w:tcPr>
            <w:tcW w:w="1701" w:type="dxa"/>
          </w:tcPr>
          <w:p w14:paraId="43A41358" w14:textId="1A8761FE" w:rsidR="001C2BA0" w:rsidRPr="00A57D8B" w:rsidRDefault="00C55A34" w:rsidP="001C2BA0">
            <w:pPr>
              <w:rPr>
                <w:rFonts w:ascii="Calibri" w:hAnsi="Calibri" w:cs="Calibri"/>
                <w:color w:val="000000" w:themeColor="text1"/>
                <w:lang w:val="en-GB"/>
              </w:rPr>
            </w:pPr>
            <w:proofErr w:type="spellStart"/>
            <w:r>
              <w:rPr>
                <w:rFonts w:ascii="Calibri" w:hAnsi="Calibri" w:cs="Calibri"/>
                <w:color w:val="000000" w:themeColor="text1"/>
                <w:lang w:val="en-GB"/>
              </w:rPr>
              <w:t>Teilweise</w:t>
            </w:r>
            <w:proofErr w:type="spellEnd"/>
          </w:p>
        </w:tc>
        <w:tc>
          <w:tcPr>
            <w:tcW w:w="5523" w:type="dxa"/>
          </w:tcPr>
          <w:p w14:paraId="4BF2B6DA" w14:textId="69E4D7F3" w:rsidR="00CC01B4" w:rsidRPr="00C77207" w:rsidRDefault="00C11046" w:rsidP="008543B6">
            <w:pPr>
              <w:rPr>
                <w:rFonts w:cstheme="minorHAnsi"/>
                <w:color w:val="000000" w:themeColor="text1"/>
                <w:lang w:val="de-DE"/>
              </w:rPr>
            </w:pPr>
            <w:r w:rsidRPr="00C77207">
              <w:rPr>
                <w:rFonts w:cstheme="minorHAnsi"/>
                <w:color w:val="000000" w:themeColor="text1"/>
                <w:lang w:val="de-DE"/>
              </w:rPr>
              <w:t>Nach §</w:t>
            </w:r>
            <w:r w:rsidR="007E664C" w:rsidRPr="00C77207">
              <w:rPr>
                <w:rFonts w:cstheme="minorHAnsi"/>
                <w:color w:val="000000" w:themeColor="text1"/>
                <w:lang w:val="de-DE"/>
              </w:rPr>
              <w:t xml:space="preserve"> </w:t>
            </w:r>
            <w:r w:rsidRPr="00C77207">
              <w:rPr>
                <w:rFonts w:cstheme="minorHAnsi"/>
                <w:color w:val="000000" w:themeColor="text1"/>
                <w:lang w:val="de-DE"/>
              </w:rPr>
              <w:t xml:space="preserve">78 </w:t>
            </w:r>
            <w:r w:rsidR="007E664C" w:rsidRPr="00C77207">
              <w:rPr>
                <w:rFonts w:cstheme="minorHAnsi"/>
                <w:color w:val="000000" w:themeColor="text1"/>
                <w:lang w:val="de-DE"/>
              </w:rPr>
              <w:t>Abs. 2</w:t>
            </w:r>
            <w:r w:rsidRPr="00C77207">
              <w:rPr>
                <w:rFonts w:cstheme="minorHAnsi"/>
                <w:color w:val="000000" w:themeColor="text1"/>
                <w:lang w:val="de-DE"/>
              </w:rPr>
              <w:t xml:space="preserve"> StGB unterliegen nur Verbrechen nach §</w:t>
            </w:r>
            <w:r w:rsidR="007E664C" w:rsidRPr="00C77207">
              <w:rPr>
                <w:rFonts w:cstheme="minorHAnsi"/>
                <w:color w:val="000000" w:themeColor="text1"/>
                <w:lang w:val="de-DE"/>
              </w:rPr>
              <w:t xml:space="preserve"> </w:t>
            </w:r>
            <w:r w:rsidRPr="00C77207">
              <w:rPr>
                <w:rFonts w:cstheme="minorHAnsi"/>
                <w:color w:val="000000" w:themeColor="text1"/>
                <w:lang w:val="de-DE"/>
              </w:rPr>
              <w:t xml:space="preserve">211 StGB keiner Verjährungsfrist. Die Verjährungsfrist bestimmt sich ansonsten gem. §78 </w:t>
            </w:r>
            <w:r w:rsidR="007E664C" w:rsidRPr="00C77207">
              <w:rPr>
                <w:rFonts w:cstheme="minorHAnsi"/>
                <w:color w:val="000000" w:themeColor="text1"/>
                <w:lang w:val="de-DE"/>
              </w:rPr>
              <w:t>Abs. 3</w:t>
            </w:r>
            <w:r w:rsidRPr="00C77207">
              <w:rPr>
                <w:rFonts w:cstheme="minorHAnsi"/>
                <w:color w:val="000000" w:themeColor="text1"/>
                <w:lang w:val="de-DE"/>
              </w:rPr>
              <w:t xml:space="preserve"> StGB nach dem </w:t>
            </w:r>
            <w:r w:rsidRPr="00C77207">
              <w:rPr>
                <w:rFonts w:cstheme="minorHAnsi"/>
                <w:color w:val="000000" w:themeColor="text1"/>
                <w:lang w:val="de-DE"/>
              </w:rPr>
              <w:lastRenderedPageBreak/>
              <w:t xml:space="preserve">Höchstmaß der für die jeweilige Straftat angedrohten Freiheitsstrafe. </w:t>
            </w:r>
          </w:p>
          <w:p w14:paraId="5702706D" w14:textId="77777777" w:rsidR="00CC01B4" w:rsidRPr="00C77207" w:rsidRDefault="00CC01B4" w:rsidP="008543B6">
            <w:pPr>
              <w:rPr>
                <w:rFonts w:cstheme="minorHAnsi"/>
                <w:color w:val="000000" w:themeColor="text1"/>
                <w:lang w:val="de-DE"/>
              </w:rPr>
            </w:pPr>
          </w:p>
          <w:p w14:paraId="4535A30B" w14:textId="19A7F7BF" w:rsidR="001C2BA0" w:rsidRPr="00C77207" w:rsidRDefault="00C11046" w:rsidP="008543B6">
            <w:pPr>
              <w:rPr>
                <w:rFonts w:cstheme="minorHAnsi"/>
                <w:color w:val="000000" w:themeColor="text1"/>
                <w:lang w:val="de-DE"/>
              </w:rPr>
            </w:pPr>
            <w:r w:rsidRPr="00C77207">
              <w:rPr>
                <w:rFonts w:cstheme="minorHAnsi"/>
                <w:color w:val="000000" w:themeColor="text1"/>
                <w:lang w:val="de-DE"/>
              </w:rPr>
              <w:t>Bei sexuellem Missbrauch von Kindern gem. §</w:t>
            </w:r>
            <w:r w:rsidR="007E664C" w:rsidRPr="00C77207">
              <w:rPr>
                <w:rFonts w:cstheme="minorHAnsi"/>
                <w:color w:val="000000" w:themeColor="text1"/>
                <w:lang w:val="de-DE"/>
              </w:rPr>
              <w:t xml:space="preserve"> </w:t>
            </w:r>
            <w:r w:rsidRPr="00C77207">
              <w:rPr>
                <w:rFonts w:cstheme="minorHAnsi"/>
                <w:color w:val="000000" w:themeColor="text1"/>
                <w:lang w:val="de-DE"/>
              </w:rPr>
              <w:t>176 StGB, schwerem sexuellen Missbrauch von Kindern gem. §</w:t>
            </w:r>
            <w:r w:rsidR="007E664C" w:rsidRPr="00C77207">
              <w:rPr>
                <w:rFonts w:cstheme="minorHAnsi"/>
                <w:color w:val="000000" w:themeColor="text1"/>
                <w:lang w:val="de-DE"/>
              </w:rPr>
              <w:t xml:space="preserve"> </w:t>
            </w:r>
            <w:r w:rsidRPr="00C77207">
              <w:rPr>
                <w:rFonts w:cstheme="minorHAnsi"/>
                <w:color w:val="000000" w:themeColor="text1"/>
                <w:lang w:val="de-DE"/>
              </w:rPr>
              <w:t xml:space="preserve">176c </w:t>
            </w:r>
            <w:r w:rsidR="007E664C" w:rsidRPr="00C77207">
              <w:rPr>
                <w:rFonts w:cstheme="minorHAnsi"/>
                <w:color w:val="000000" w:themeColor="text1"/>
                <w:lang w:val="de-DE"/>
              </w:rPr>
              <w:t>Abs. 1</w:t>
            </w:r>
            <w:r w:rsidRPr="00C77207">
              <w:rPr>
                <w:rFonts w:cstheme="minorHAnsi"/>
                <w:color w:val="000000" w:themeColor="text1"/>
                <w:lang w:val="de-DE"/>
              </w:rPr>
              <w:t xml:space="preserve">, </w:t>
            </w:r>
            <w:r w:rsidR="007E664C" w:rsidRPr="00C77207">
              <w:rPr>
                <w:rFonts w:cstheme="minorHAnsi"/>
                <w:color w:val="000000" w:themeColor="text1"/>
                <w:lang w:val="de-DE"/>
              </w:rPr>
              <w:t>Abs. 2</w:t>
            </w:r>
            <w:r w:rsidRPr="00C77207">
              <w:rPr>
                <w:rFonts w:cstheme="minorHAnsi"/>
                <w:color w:val="000000" w:themeColor="text1"/>
                <w:lang w:val="de-DE"/>
              </w:rPr>
              <w:t xml:space="preserve"> StGB</w:t>
            </w:r>
            <w:r w:rsidR="00432E64" w:rsidRPr="00C77207">
              <w:rPr>
                <w:rFonts w:cstheme="minorHAnsi"/>
                <w:color w:val="000000" w:themeColor="text1"/>
                <w:lang w:val="de-DE"/>
              </w:rPr>
              <w:t xml:space="preserve"> und bei Verbreitung, Erwerb und Besitz von Kinderpornographie gem. §</w:t>
            </w:r>
            <w:r w:rsidR="007E664C" w:rsidRPr="00C77207">
              <w:rPr>
                <w:rFonts w:cstheme="minorHAnsi"/>
                <w:color w:val="000000" w:themeColor="text1"/>
                <w:lang w:val="de-DE"/>
              </w:rPr>
              <w:t xml:space="preserve"> </w:t>
            </w:r>
            <w:r w:rsidR="00432E64" w:rsidRPr="00C77207">
              <w:rPr>
                <w:rFonts w:cstheme="minorHAnsi"/>
                <w:color w:val="000000" w:themeColor="text1"/>
                <w:lang w:val="de-DE"/>
              </w:rPr>
              <w:t xml:space="preserve">184b </w:t>
            </w:r>
            <w:r w:rsidR="007E664C" w:rsidRPr="00C77207">
              <w:rPr>
                <w:rFonts w:cstheme="minorHAnsi"/>
                <w:color w:val="000000" w:themeColor="text1"/>
                <w:lang w:val="de-DE"/>
              </w:rPr>
              <w:t>Abs. 1</w:t>
            </w:r>
            <w:r w:rsidR="00432E64" w:rsidRPr="00C77207">
              <w:rPr>
                <w:rFonts w:cstheme="minorHAnsi"/>
                <w:color w:val="000000" w:themeColor="text1"/>
                <w:lang w:val="de-DE"/>
              </w:rPr>
              <w:t xml:space="preserve">, </w:t>
            </w:r>
            <w:r w:rsidR="007E664C" w:rsidRPr="00C77207">
              <w:rPr>
                <w:rFonts w:cstheme="minorHAnsi"/>
                <w:color w:val="000000" w:themeColor="text1"/>
                <w:lang w:val="de-DE"/>
              </w:rPr>
              <w:t>Abs. 3</w:t>
            </w:r>
            <w:r w:rsidR="00432E64" w:rsidRPr="00C77207">
              <w:rPr>
                <w:rFonts w:cstheme="minorHAnsi"/>
                <w:color w:val="000000" w:themeColor="text1"/>
                <w:lang w:val="de-DE"/>
              </w:rPr>
              <w:t xml:space="preserve"> StGB beträgt die Verjährungsfrist gem. §</w:t>
            </w:r>
            <w:r w:rsidR="00CB2618" w:rsidRPr="00C77207">
              <w:rPr>
                <w:rFonts w:cstheme="minorHAnsi"/>
                <w:color w:val="000000" w:themeColor="text1"/>
                <w:lang w:val="de-DE"/>
              </w:rPr>
              <w:t xml:space="preserve"> </w:t>
            </w:r>
            <w:r w:rsidR="00432E64" w:rsidRPr="00C77207">
              <w:rPr>
                <w:rFonts w:cstheme="minorHAnsi"/>
                <w:color w:val="000000" w:themeColor="text1"/>
                <w:lang w:val="de-DE"/>
              </w:rPr>
              <w:t xml:space="preserve">78 </w:t>
            </w:r>
            <w:r w:rsidR="00CB2618" w:rsidRPr="00C77207">
              <w:rPr>
                <w:rFonts w:cstheme="minorHAnsi"/>
                <w:color w:val="000000" w:themeColor="text1"/>
                <w:lang w:val="de-DE"/>
              </w:rPr>
              <w:t>Abs. 3</w:t>
            </w:r>
            <w:r w:rsidR="00432E64" w:rsidRPr="00C77207">
              <w:rPr>
                <w:rFonts w:cstheme="minorHAnsi"/>
                <w:color w:val="000000" w:themeColor="text1"/>
                <w:lang w:val="de-DE"/>
              </w:rPr>
              <w:t xml:space="preserve"> Nr.4 StGB </w:t>
            </w:r>
            <w:r w:rsidR="00CB2618" w:rsidRPr="00C77207">
              <w:rPr>
                <w:rFonts w:cstheme="minorHAnsi"/>
                <w:color w:val="000000" w:themeColor="text1"/>
                <w:lang w:val="de-DE"/>
              </w:rPr>
              <w:t>fünf</w:t>
            </w:r>
            <w:r w:rsidR="00432E64" w:rsidRPr="00C77207">
              <w:rPr>
                <w:rFonts w:cstheme="minorHAnsi"/>
                <w:color w:val="000000" w:themeColor="text1"/>
                <w:lang w:val="de-DE"/>
              </w:rPr>
              <w:t xml:space="preserve"> Jahre. Bei sexuellem Missbrauch von Kindern ohne Körperkontakt gem. §</w:t>
            </w:r>
            <w:r w:rsidR="00CB2618" w:rsidRPr="00C77207">
              <w:rPr>
                <w:rFonts w:cstheme="minorHAnsi"/>
                <w:color w:val="000000" w:themeColor="text1"/>
                <w:lang w:val="de-DE"/>
              </w:rPr>
              <w:t xml:space="preserve"> </w:t>
            </w:r>
            <w:r w:rsidR="00432E64" w:rsidRPr="00C77207">
              <w:rPr>
                <w:rFonts w:cstheme="minorHAnsi"/>
                <w:color w:val="000000" w:themeColor="text1"/>
                <w:lang w:val="de-DE"/>
              </w:rPr>
              <w:t>176a StGB, der Förderung entgeltlicher sexueller Handlungen gem. §</w:t>
            </w:r>
            <w:r w:rsidR="00CB2618" w:rsidRPr="00C77207">
              <w:rPr>
                <w:rFonts w:cstheme="minorHAnsi"/>
                <w:color w:val="000000" w:themeColor="text1"/>
                <w:lang w:val="de-DE"/>
              </w:rPr>
              <w:t xml:space="preserve"> </w:t>
            </w:r>
            <w:r w:rsidR="00432E64" w:rsidRPr="00C77207">
              <w:rPr>
                <w:rFonts w:cstheme="minorHAnsi"/>
                <w:color w:val="000000" w:themeColor="text1"/>
                <w:lang w:val="de-DE"/>
              </w:rPr>
              <w:t xml:space="preserve">180 </w:t>
            </w:r>
            <w:r w:rsidR="00CB2618" w:rsidRPr="00C77207">
              <w:rPr>
                <w:rFonts w:cstheme="minorHAnsi"/>
                <w:color w:val="000000" w:themeColor="text1"/>
                <w:lang w:val="de-DE"/>
              </w:rPr>
              <w:t>Abs. 2</w:t>
            </w:r>
            <w:r w:rsidR="00432E64" w:rsidRPr="00C77207">
              <w:rPr>
                <w:rFonts w:cstheme="minorHAnsi"/>
                <w:color w:val="000000" w:themeColor="text1"/>
                <w:lang w:val="de-DE"/>
              </w:rPr>
              <w:t xml:space="preserve"> StGB, entgeltlichem sexuellen Kontakt mit Jugendlichen gem. §</w:t>
            </w:r>
            <w:r w:rsidR="00CB2618" w:rsidRPr="00C77207">
              <w:rPr>
                <w:rFonts w:cstheme="minorHAnsi"/>
                <w:color w:val="000000" w:themeColor="text1"/>
                <w:lang w:val="de-DE"/>
              </w:rPr>
              <w:t xml:space="preserve"> </w:t>
            </w:r>
            <w:r w:rsidR="00432E64" w:rsidRPr="00C77207">
              <w:rPr>
                <w:rFonts w:cstheme="minorHAnsi"/>
                <w:color w:val="000000" w:themeColor="text1"/>
                <w:lang w:val="de-DE"/>
              </w:rPr>
              <w:t xml:space="preserve">182 </w:t>
            </w:r>
            <w:r w:rsidR="00CB2618" w:rsidRPr="00C77207">
              <w:rPr>
                <w:rFonts w:cstheme="minorHAnsi"/>
                <w:color w:val="000000" w:themeColor="text1"/>
                <w:lang w:val="de-DE"/>
              </w:rPr>
              <w:t>Abs. 1</w:t>
            </w:r>
            <w:r w:rsidR="00432E64" w:rsidRPr="00C77207">
              <w:rPr>
                <w:rFonts w:cstheme="minorHAnsi"/>
                <w:color w:val="000000" w:themeColor="text1"/>
                <w:lang w:val="de-DE"/>
              </w:rPr>
              <w:t xml:space="preserve"> StGB, bei Verbreitung, Erwerb und Besitz von Jugendpornographie gem. §</w:t>
            </w:r>
            <w:r w:rsidR="00CB2618" w:rsidRPr="00C77207">
              <w:rPr>
                <w:rFonts w:cstheme="minorHAnsi"/>
                <w:color w:val="000000" w:themeColor="text1"/>
                <w:lang w:val="de-DE"/>
              </w:rPr>
              <w:t xml:space="preserve"> </w:t>
            </w:r>
            <w:r w:rsidR="00432E64" w:rsidRPr="00C77207">
              <w:rPr>
                <w:rFonts w:cstheme="minorHAnsi"/>
                <w:color w:val="000000" w:themeColor="text1"/>
                <w:lang w:val="de-DE"/>
              </w:rPr>
              <w:t xml:space="preserve">184c </w:t>
            </w:r>
            <w:r w:rsidR="00CB2618" w:rsidRPr="00C77207">
              <w:rPr>
                <w:rFonts w:cstheme="minorHAnsi"/>
                <w:color w:val="000000" w:themeColor="text1"/>
                <w:lang w:val="de-DE"/>
              </w:rPr>
              <w:t>Abs. 1</w:t>
            </w:r>
            <w:r w:rsidR="00432E64" w:rsidRPr="00C77207">
              <w:rPr>
                <w:rFonts w:cstheme="minorHAnsi"/>
                <w:color w:val="000000" w:themeColor="text1"/>
                <w:lang w:val="de-DE"/>
              </w:rPr>
              <w:t xml:space="preserve">, </w:t>
            </w:r>
            <w:r w:rsidR="00CB2618" w:rsidRPr="00C77207">
              <w:rPr>
                <w:rFonts w:cstheme="minorHAnsi"/>
                <w:color w:val="000000" w:themeColor="text1"/>
                <w:lang w:val="de-DE"/>
              </w:rPr>
              <w:t>Abs. 3</w:t>
            </w:r>
            <w:r w:rsidR="00432E64" w:rsidRPr="00C77207">
              <w:rPr>
                <w:rFonts w:cstheme="minorHAnsi"/>
                <w:color w:val="000000" w:themeColor="text1"/>
                <w:lang w:val="de-DE"/>
              </w:rPr>
              <w:t xml:space="preserve"> StGB sowie bei Menschenhandel gem. §</w:t>
            </w:r>
            <w:r w:rsidR="00CB2618" w:rsidRPr="00C77207">
              <w:rPr>
                <w:rFonts w:cstheme="minorHAnsi"/>
                <w:color w:val="000000" w:themeColor="text1"/>
                <w:lang w:val="de-DE"/>
              </w:rPr>
              <w:t xml:space="preserve"> </w:t>
            </w:r>
            <w:r w:rsidR="00432E64" w:rsidRPr="00C77207">
              <w:rPr>
                <w:rFonts w:cstheme="minorHAnsi"/>
                <w:color w:val="000000" w:themeColor="text1"/>
                <w:lang w:val="de-DE"/>
              </w:rPr>
              <w:t xml:space="preserve">232 StGB </w:t>
            </w:r>
            <w:r w:rsidR="00CB0E3E" w:rsidRPr="00C77207">
              <w:rPr>
                <w:rFonts w:cstheme="minorHAnsi"/>
                <w:color w:val="000000" w:themeColor="text1"/>
                <w:lang w:val="de-DE"/>
              </w:rPr>
              <w:t>und</w:t>
            </w:r>
            <w:r w:rsidR="00432E64" w:rsidRPr="00C77207">
              <w:rPr>
                <w:rFonts w:cstheme="minorHAnsi"/>
                <w:color w:val="000000" w:themeColor="text1"/>
                <w:lang w:val="de-DE"/>
              </w:rPr>
              <w:t xml:space="preserve"> Zwangsprostitution gem. §</w:t>
            </w:r>
            <w:r w:rsidR="00CB2618" w:rsidRPr="00C77207">
              <w:rPr>
                <w:rFonts w:cstheme="minorHAnsi"/>
                <w:color w:val="000000" w:themeColor="text1"/>
                <w:lang w:val="de-DE"/>
              </w:rPr>
              <w:t xml:space="preserve"> </w:t>
            </w:r>
            <w:r w:rsidR="00432E64" w:rsidRPr="00C77207">
              <w:rPr>
                <w:rFonts w:cstheme="minorHAnsi"/>
                <w:color w:val="000000" w:themeColor="text1"/>
                <w:lang w:val="de-DE"/>
              </w:rPr>
              <w:t>232a StGB beträgt die Verjährungsfrist gem. §</w:t>
            </w:r>
            <w:r w:rsidR="00CB2618" w:rsidRPr="00C77207">
              <w:rPr>
                <w:rFonts w:cstheme="minorHAnsi"/>
                <w:color w:val="000000" w:themeColor="text1"/>
                <w:lang w:val="de-DE"/>
              </w:rPr>
              <w:t xml:space="preserve"> </w:t>
            </w:r>
            <w:r w:rsidR="00432E64" w:rsidRPr="00C77207">
              <w:rPr>
                <w:rFonts w:cstheme="minorHAnsi"/>
                <w:color w:val="000000" w:themeColor="text1"/>
                <w:lang w:val="de-DE"/>
              </w:rPr>
              <w:t xml:space="preserve">78 </w:t>
            </w:r>
            <w:r w:rsidR="00CB2618" w:rsidRPr="00C77207">
              <w:rPr>
                <w:rFonts w:cstheme="minorHAnsi"/>
                <w:color w:val="000000" w:themeColor="text1"/>
                <w:lang w:val="de-DE"/>
              </w:rPr>
              <w:t>Abs. 3</w:t>
            </w:r>
            <w:r w:rsidR="00432E64" w:rsidRPr="00C77207">
              <w:rPr>
                <w:rFonts w:cstheme="minorHAnsi"/>
                <w:color w:val="000000" w:themeColor="text1"/>
                <w:lang w:val="de-DE"/>
              </w:rPr>
              <w:t xml:space="preserve"> Nr.</w:t>
            </w:r>
            <w:r w:rsidR="00CB2618" w:rsidRPr="00C77207">
              <w:rPr>
                <w:rFonts w:cstheme="minorHAnsi"/>
                <w:color w:val="000000" w:themeColor="text1"/>
                <w:lang w:val="de-DE"/>
              </w:rPr>
              <w:t xml:space="preserve"> </w:t>
            </w:r>
            <w:r w:rsidR="00432E64" w:rsidRPr="00C77207">
              <w:rPr>
                <w:rFonts w:cstheme="minorHAnsi"/>
                <w:color w:val="000000" w:themeColor="text1"/>
                <w:lang w:val="de-DE"/>
              </w:rPr>
              <w:t>5</w:t>
            </w:r>
            <w:r w:rsidR="00C233BD" w:rsidRPr="00C77207">
              <w:rPr>
                <w:rFonts w:cstheme="minorHAnsi"/>
                <w:color w:val="000000" w:themeColor="text1"/>
                <w:lang w:val="de-DE"/>
              </w:rPr>
              <w:t xml:space="preserve"> StGB</w:t>
            </w:r>
            <w:r w:rsidR="00432E64" w:rsidRPr="00C77207">
              <w:rPr>
                <w:rFonts w:cstheme="minorHAnsi"/>
                <w:color w:val="000000" w:themeColor="text1"/>
                <w:lang w:val="de-DE"/>
              </w:rPr>
              <w:t xml:space="preserve"> drei Jahre. </w:t>
            </w:r>
            <w:r w:rsidR="00C233BD" w:rsidRPr="00C77207">
              <w:rPr>
                <w:rFonts w:cstheme="minorHAnsi"/>
                <w:color w:val="000000" w:themeColor="text1"/>
                <w:lang w:val="de-DE"/>
              </w:rPr>
              <w:t>Nach §</w:t>
            </w:r>
            <w:r w:rsidR="00CB2618" w:rsidRPr="00C77207">
              <w:rPr>
                <w:rFonts w:cstheme="minorHAnsi"/>
                <w:color w:val="000000" w:themeColor="text1"/>
                <w:lang w:val="de-DE"/>
              </w:rPr>
              <w:t xml:space="preserve"> </w:t>
            </w:r>
            <w:r w:rsidR="00C233BD" w:rsidRPr="00C77207">
              <w:rPr>
                <w:rFonts w:cstheme="minorHAnsi"/>
                <w:color w:val="000000" w:themeColor="text1"/>
                <w:lang w:val="de-DE"/>
              </w:rPr>
              <w:t xml:space="preserve">78 </w:t>
            </w:r>
            <w:r w:rsidR="00CB2618" w:rsidRPr="00C77207">
              <w:rPr>
                <w:rFonts w:cstheme="minorHAnsi"/>
                <w:color w:val="000000" w:themeColor="text1"/>
                <w:lang w:val="de-DE"/>
              </w:rPr>
              <w:t>Abs. 3</w:t>
            </w:r>
            <w:r w:rsidR="00C233BD" w:rsidRPr="00C77207">
              <w:rPr>
                <w:rFonts w:cstheme="minorHAnsi"/>
                <w:color w:val="000000" w:themeColor="text1"/>
                <w:lang w:val="de-DE"/>
              </w:rPr>
              <w:t xml:space="preserve"> Nr.</w:t>
            </w:r>
            <w:r w:rsidR="00CB2618" w:rsidRPr="00C77207">
              <w:rPr>
                <w:rFonts w:cstheme="minorHAnsi"/>
                <w:color w:val="000000" w:themeColor="text1"/>
                <w:lang w:val="de-DE"/>
              </w:rPr>
              <w:t xml:space="preserve"> </w:t>
            </w:r>
            <w:r w:rsidR="00C233BD" w:rsidRPr="00C77207">
              <w:rPr>
                <w:rFonts w:cstheme="minorHAnsi"/>
                <w:color w:val="000000" w:themeColor="text1"/>
                <w:lang w:val="de-DE"/>
              </w:rPr>
              <w:t xml:space="preserve">3 StGB beträgt die Verjährungsfrist </w:t>
            </w:r>
            <w:r w:rsidR="00CB2618" w:rsidRPr="00C77207">
              <w:rPr>
                <w:rFonts w:cstheme="minorHAnsi"/>
                <w:color w:val="000000" w:themeColor="text1"/>
                <w:lang w:val="de-DE"/>
              </w:rPr>
              <w:t>zehn</w:t>
            </w:r>
            <w:r w:rsidR="00C233BD" w:rsidRPr="00C77207">
              <w:rPr>
                <w:rFonts w:cstheme="minorHAnsi"/>
                <w:color w:val="000000" w:themeColor="text1"/>
                <w:lang w:val="de-DE"/>
              </w:rPr>
              <w:t xml:space="preserve"> Jahre, wenn das Kind gem. §</w:t>
            </w:r>
            <w:r w:rsidR="00CB2618" w:rsidRPr="00C77207">
              <w:rPr>
                <w:rFonts w:cstheme="minorHAnsi"/>
                <w:color w:val="000000" w:themeColor="text1"/>
                <w:lang w:val="de-DE"/>
              </w:rPr>
              <w:t xml:space="preserve"> </w:t>
            </w:r>
            <w:r w:rsidR="00C233BD" w:rsidRPr="00C77207">
              <w:rPr>
                <w:rFonts w:cstheme="minorHAnsi"/>
                <w:color w:val="000000" w:themeColor="text1"/>
                <w:lang w:val="de-DE"/>
              </w:rPr>
              <w:t xml:space="preserve">176c </w:t>
            </w:r>
            <w:r w:rsidR="00CB2618" w:rsidRPr="00C77207">
              <w:rPr>
                <w:rFonts w:cstheme="minorHAnsi"/>
                <w:color w:val="000000" w:themeColor="text1"/>
                <w:lang w:val="de-DE"/>
              </w:rPr>
              <w:t>Abs. 3</w:t>
            </w:r>
            <w:r w:rsidR="00C233BD" w:rsidRPr="00C77207">
              <w:rPr>
                <w:rFonts w:cstheme="minorHAnsi"/>
                <w:color w:val="000000" w:themeColor="text1"/>
                <w:lang w:val="de-DE"/>
              </w:rPr>
              <w:t xml:space="preserve"> StGB bei dem sexuellen Missbrauch körperlich schwer misshandelt oder in die Gefahr des Todes gebracht wird.</w:t>
            </w:r>
          </w:p>
          <w:p w14:paraId="222F7364" w14:textId="77777777" w:rsidR="00C233BD" w:rsidRPr="00C77207" w:rsidRDefault="00C233BD" w:rsidP="008543B6">
            <w:pPr>
              <w:rPr>
                <w:rFonts w:cstheme="minorHAnsi"/>
                <w:color w:val="000000" w:themeColor="text1"/>
                <w:lang w:val="de-DE"/>
              </w:rPr>
            </w:pPr>
          </w:p>
          <w:p w14:paraId="0886FF33" w14:textId="0209E7BE" w:rsidR="00C233BD" w:rsidRPr="00C77207" w:rsidRDefault="00C233BD" w:rsidP="008543B6">
            <w:pPr>
              <w:rPr>
                <w:rFonts w:cstheme="minorHAnsi"/>
                <w:color w:val="000000" w:themeColor="text1"/>
                <w:lang w:val="de-DE"/>
              </w:rPr>
            </w:pPr>
            <w:r w:rsidRPr="00C77207">
              <w:rPr>
                <w:rFonts w:cstheme="minorHAnsi"/>
                <w:color w:val="000000" w:themeColor="text1"/>
                <w:lang w:val="de-DE"/>
              </w:rPr>
              <w:t>In §</w:t>
            </w:r>
            <w:r w:rsidR="00CB2618" w:rsidRPr="00C77207">
              <w:rPr>
                <w:rFonts w:cstheme="minorHAnsi"/>
                <w:color w:val="000000" w:themeColor="text1"/>
                <w:lang w:val="de-DE"/>
              </w:rPr>
              <w:t xml:space="preserve"> </w:t>
            </w:r>
            <w:r w:rsidRPr="00C77207">
              <w:rPr>
                <w:rFonts w:cstheme="minorHAnsi"/>
                <w:color w:val="000000" w:themeColor="text1"/>
                <w:lang w:val="de-DE"/>
              </w:rPr>
              <w:t xml:space="preserve">78b </w:t>
            </w:r>
            <w:r w:rsidR="00CB2618" w:rsidRPr="00C77207">
              <w:rPr>
                <w:rFonts w:cstheme="minorHAnsi"/>
                <w:color w:val="000000" w:themeColor="text1"/>
                <w:lang w:val="de-DE"/>
              </w:rPr>
              <w:t>Abs. 1</w:t>
            </w:r>
            <w:r w:rsidRPr="00C77207">
              <w:rPr>
                <w:rFonts w:cstheme="minorHAnsi"/>
                <w:color w:val="000000" w:themeColor="text1"/>
                <w:lang w:val="de-DE"/>
              </w:rPr>
              <w:t xml:space="preserve"> Nr.</w:t>
            </w:r>
            <w:r w:rsidR="00CB2618" w:rsidRPr="00C77207">
              <w:rPr>
                <w:rFonts w:cstheme="minorHAnsi"/>
                <w:color w:val="000000" w:themeColor="text1"/>
                <w:lang w:val="de-DE"/>
              </w:rPr>
              <w:t xml:space="preserve"> </w:t>
            </w:r>
            <w:r w:rsidRPr="00C77207">
              <w:rPr>
                <w:rFonts w:cstheme="minorHAnsi"/>
                <w:color w:val="000000" w:themeColor="text1"/>
                <w:lang w:val="de-DE"/>
              </w:rPr>
              <w:t>1 StGB ist vorgesehen, dass die Verjährung bei sexuellem Missbrauch von Kindern gem. §§</w:t>
            </w:r>
            <w:r w:rsidR="00CB2618" w:rsidRPr="00C77207">
              <w:rPr>
                <w:rFonts w:cstheme="minorHAnsi"/>
                <w:color w:val="000000" w:themeColor="text1"/>
                <w:lang w:val="de-DE"/>
              </w:rPr>
              <w:t xml:space="preserve"> </w:t>
            </w:r>
            <w:r w:rsidRPr="00C77207">
              <w:rPr>
                <w:rFonts w:cstheme="minorHAnsi"/>
                <w:color w:val="000000" w:themeColor="text1"/>
                <w:lang w:val="de-DE"/>
              </w:rPr>
              <w:t>176-178 StGB, sexuellem Missbrauch von Jugendlichen gem. §</w:t>
            </w:r>
            <w:r w:rsidR="00CB2618" w:rsidRPr="00C77207">
              <w:rPr>
                <w:rFonts w:cstheme="minorHAnsi"/>
                <w:color w:val="000000" w:themeColor="text1"/>
                <w:lang w:val="de-DE"/>
              </w:rPr>
              <w:t xml:space="preserve"> </w:t>
            </w:r>
            <w:r w:rsidRPr="00C77207">
              <w:rPr>
                <w:rFonts w:cstheme="minorHAnsi"/>
                <w:color w:val="000000" w:themeColor="text1"/>
                <w:lang w:val="de-DE"/>
              </w:rPr>
              <w:t>182 StGB sowie der Herstellung kinderpornographischer Inhalte gem. §</w:t>
            </w:r>
            <w:r w:rsidR="00CB2618" w:rsidRPr="00C77207">
              <w:rPr>
                <w:rFonts w:cstheme="minorHAnsi"/>
                <w:color w:val="000000" w:themeColor="text1"/>
                <w:lang w:val="de-DE"/>
              </w:rPr>
              <w:t xml:space="preserve"> </w:t>
            </w:r>
            <w:r w:rsidRPr="00C77207">
              <w:rPr>
                <w:rFonts w:cstheme="minorHAnsi"/>
                <w:color w:val="000000" w:themeColor="text1"/>
                <w:lang w:val="de-DE"/>
              </w:rPr>
              <w:t xml:space="preserve">184b </w:t>
            </w:r>
            <w:r w:rsidR="00CB2618" w:rsidRPr="00C77207">
              <w:rPr>
                <w:rFonts w:cstheme="minorHAnsi"/>
                <w:color w:val="000000" w:themeColor="text1"/>
                <w:lang w:val="de-DE"/>
              </w:rPr>
              <w:t>Abs. 1</w:t>
            </w:r>
            <w:r w:rsidRPr="00C77207">
              <w:rPr>
                <w:rFonts w:cstheme="minorHAnsi"/>
                <w:color w:val="000000" w:themeColor="text1"/>
                <w:lang w:val="de-DE"/>
              </w:rPr>
              <w:t xml:space="preserve"> </w:t>
            </w:r>
            <w:r w:rsidR="00CB2618" w:rsidRPr="00C77207">
              <w:rPr>
                <w:rFonts w:cstheme="minorHAnsi"/>
                <w:color w:val="000000" w:themeColor="text1"/>
                <w:lang w:val="de-DE"/>
              </w:rPr>
              <w:t xml:space="preserve">S. </w:t>
            </w:r>
            <w:r w:rsidRPr="00C77207">
              <w:rPr>
                <w:rFonts w:cstheme="minorHAnsi"/>
                <w:color w:val="000000" w:themeColor="text1"/>
                <w:lang w:val="de-DE"/>
              </w:rPr>
              <w:t>1 Nr.</w:t>
            </w:r>
            <w:r w:rsidR="00CB2618" w:rsidRPr="00C77207">
              <w:rPr>
                <w:rFonts w:cstheme="minorHAnsi"/>
                <w:color w:val="000000" w:themeColor="text1"/>
                <w:lang w:val="de-DE"/>
              </w:rPr>
              <w:t xml:space="preserve"> </w:t>
            </w:r>
            <w:r w:rsidRPr="00C77207">
              <w:rPr>
                <w:rFonts w:cstheme="minorHAnsi"/>
                <w:color w:val="000000" w:themeColor="text1"/>
                <w:lang w:val="de-DE"/>
              </w:rPr>
              <w:t>3 StGB ruht, bis das Opfer das 30. Lebensjahr vollendet hat.</w:t>
            </w:r>
          </w:p>
        </w:tc>
      </w:tr>
      <w:tr w:rsidR="001C2BA0" w:rsidRPr="00F206A4" w14:paraId="5FE90B2F" w14:textId="77777777" w:rsidTr="00A57D8B">
        <w:trPr>
          <w:trHeight w:val="686"/>
        </w:trPr>
        <w:tc>
          <w:tcPr>
            <w:tcW w:w="425" w:type="dxa"/>
          </w:tcPr>
          <w:p w14:paraId="11D0DD69" w14:textId="77777777" w:rsidR="001C2BA0" w:rsidRPr="00C233BD" w:rsidRDefault="001C2BA0" w:rsidP="001C2BA0">
            <w:pPr>
              <w:numPr>
                <w:ilvl w:val="0"/>
                <w:numId w:val="2"/>
              </w:numPr>
              <w:contextualSpacing/>
              <w:rPr>
                <w:rFonts w:ascii="Calibri" w:hAnsi="Calibri" w:cs="Calibri"/>
                <w:szCs w:val="28"/>
                <w:lang w:val="de-DE"/>
              </w:rPr>
            </w:pPr>
          </w:p>
        </w:tc>
        <w:tc>
          <w:tcPr>
            <w:tcW w:w="5387" w:type="dxa"/>
          </w:tcPr>
          <w:p w14:paraId="14CACE94" w14:textId="752C9941" w:rsidR="000A00DB" w:rsidRPr="00E14287" w:rsidRDefault="00E14287" w:rsidP="001C2BA0">
            <w:pPr>
              <w:rPr>
                <w:rFonts w:ascii="Calibri" w:hAnsi="Calibri" w:cs="Calibri"/>
                <w:color w:val="FF0000"/>
                <w:lang w:val="de-DE"/>
              </w:rPr>
            </w:pPr>
            <w:r w:rsidRPr="00E14287">
              <w:rPr>
                <w:rFonts w:eastAsia="Calibri" w:cstheme="minorHAnsi"/>
                <w:color w:val="000000" w:themeColor="text1"/>
                <w:lang w:val="de-DE"/>
              </w:rPr>
              <w:t xml:space="preserve">Festlegung von </w:t>
            </w:r>
            <w:r w:rsidR="00746460">
              <w:rPr>
                <w:rFonts w:eastAsia="Calibri" w:cstheme="minorHAnsi"/>
                <w:b/>
                <w:color w:val="000000" w:themeColor="text1"/>
                <w:lang w:val="de-DE"/>
              </w:rPr>
              <w:t>Vorschriften</w:t>
            </w:r>
            <w:r w:rsidRPr="00E14287">
              <w:rPr>
                <w:rFonts w:eastAsia="Calibri" w:cstheme="minorHAnsi"/>
                <w:b/>
                <w:color w:val="000000" w:themeColor="text1"/>
                <w:lang w:val="de-DE"/>
              </w:rPr>
              <w:t xml:space="preserve"> für </w:t>
            </w:r>
            <w:r w:rsidR="007F0D8E">
              <w:rPr>
                <w:rFonts w:eastAsia="Calibri" w:cstheme="minorHAnsi"/>
                <w:b/>
                <w:color w:val="000000" w:themeColor="text1"/>
                <w:lang w:val="de-DE"/>
              </w:rPr>
              <w:t xml:space="preserve">jegliche </w:t>
            </w:r>
            <w:r w:rsidRPr="00E14287">
              <w:rPr>
                <w:rFonts w:eastAsia="Calibri" w:cstheme="minorHAnsi"/>
                <w:b/>
                <w:color w:val="000000" w:themeColor="text1"/>
                <w:lang w:val="de-DE"/>
              </w:rPr>
              <w:t>Reisen</w:t>
            </w:r>
            <w:r w:rsidR="007F0D8E" w:rsidRPr="007F0D8E">
              <w:rPr>
                <w:rStyle w:val="CommentReference"/>
                <w:lang w:val="de-DE"/>
              </w:rPr>
              <w:t xml:space="preserve"> </w:t>
            </w:r>
            <w:r w:rsidR="007F0D8E">
              <w:rPr>
                <w:rStyle w:val="CommentReference"/>
                <w:sz w:val="22"/>
                <w:lang w:val="de-DE"/>
              </w:rPr>
              <w:t>v</w:t>
            </w:r>
            <w:r w:rsidRPr="00E14287">
              <w:rPr>
                <w:rFonts w:eastAsia="Calibri" w:cstheme="minorHAnsi"/>
                <w:color w:val="000000" w:themeColor="text1"/>
                <w:lang w:val="de-DE"/>
              </w:rPr>
              <w:t>on Personen, die wegen sexueller Ausbeutung von Kindern verurteilt wurden.</w:t>
            </w:r>
          </w:p>
        </w:tc>
        <w:tc>
          <w:tcPr>
            <w:tcW w:w="1701" w:type="dxa"/>
          </w:tcPr>
          <w:p w14:paraId="638516AD" w14:textId="42C97748" w:rsidR="001C2BA0" w:rsidRPr="00A57D8B" w:rsidRDefault="00C55A34" w:rsidP="001C2BA0">
            <w:pPr>
              <w:rPr>
                <w:rFonts w:ascii="Calibri" w:hAnsi="Calibri" w:cs="Calibri"/>
                <w:bCs/>
                <w:color w:val="000000" w:themeColor="text1"/>
                <w:lang w:val="en-GB"/>
              </w:rPr>
            </w:pPr>
            <w:proofErr w:type="spellStart"/>
            <w:r>
              <w:rPr>
                <w:rFonts w:ascii="Calibri" w:hAnsi="Calibri" w:cs="Calibri"/>
                <w:bCs/>
                <w:color w:val="000000" w:themeColor="text1"/>
                <w:lang w:val="en-GB"/>
              </w:rPr>
              <w:t>Teilweise</w:t>
            </w:r>
            <w:proofErr w:type="spellEnd"/>
          </w:p>
        </w:tc>
        <w:tc>
          <w:tcPr>
            <w:tcW w:w="5523" w:type="dxa"/>
          </w:tcPr>
          <w:p w14:paraId="2F0DD64D" w14:textId="252695DC" w:rsidR="00887E38" w:rsidRPr="00C77207" w:rsidRDefault="00887E38" w:rsidP="008543B6">
            <w:pPr>
              <w:rPr>
                <w:rFonts w:cstheme="minorHAnsi"/>
                <w:color w:val="000000" w:themeColor="text1"/>
                <w:lang w:val="de-DE"/>
              </w:rPr>
            </w:pPr>
            <w:r w:rsidRPr="00C77207">
              <w:rPr>
                <w:rFonts w:cstheme="minorHAnsi"/>
                <w:color w:val="000000" w:themeColor="text1"/>
                <w:lang w:val="de-DE"/>
              </w:rPr>
              <w:t xml:space="preserve">Bei ausländischen Tätern ist </w:t>
            </w:r>
            <w:r w:rsidR="000A00DB" w:rsidRPr="00C77207">
              <w:rPr>
                <w:rFonts w:cstheme="minorHAnsi"/>
                <w:color w:val="000000" w:themeColor="text1"/>
                <w:lang w:val="de-DE"/>
              </w:rPr>
              <w:t xml:space="preserve">bezüglich der Ein- und Ausreisebestimmungen </w:t>
            </w:r>
            <w:r w:rsidRPr="00C77207">
              <w:rPr>
                <w:rFonts w:cstheme="minorHAnsi"/>
                <w:color w:val="000000" w:themeColor="text1"/>
                <w:lang w:val="de-DE"/>
              </w:rPr>
              <w:t xml:space="preserve">zwischen EU-Bürgern und Nicht-EU-Bürgern zu differenzieren. </w:t>
            </w:r>
          </w:p>
          <w:p w14:paraId="09F7DA04" w14:textId="77777777" w:rsidR="00767ABC" w:rsidRPr="00C77207" w:rsidRDefault="00767ABC" w:rsidP="008543B6">
            <w:pPr>
              <w:rPr>
                <w:rFonts w:cstheme="minorHAnsi"/>
                <w:color w:val="000000" w:themeColor="text1"/>
                <w:lang w:val="de-DE"/>
              </w:rPr>
            </w:pPr>
          </w:p>
          <w:p w14:paraId="5EFB9512" w14:textId="472D42A0" w:rsidR="001C2BA0" w:rsidRPr="00C77207" w:rsidRDefault="00887E38" w:rsidP="008543B6">
            <w:pPr>
              <w:rPr>
                <w:rFonts w:cstheme="minorHAnsi"/>
                <w:color w:val="000000" w:themeColor="text1"/>
                <w:lang w:val="de-DE"/>
              </w:rPr>
            </w:pPr>
            <w:r w:rsidRPr="00C77207">
              <w:rPr>
                <w:rFonts w:cstheme="minorHAnsi"/>
                <w:color w:val="000000" w:themeColor="text1"/>
                <w:lang w:val="de-DE"/>
              </w:rPr>
              <w:lastRenderedPageBreak/>
              <w:t>Für Nicht-EU-Bürger gilt das Aufenthaltsgesetz, wobei n</w:t>
            </w:r>
            <w:r w:rsidR="005677BA" w:rsidRPr="00C77207">
              <w:rPr>
                <w:rFonts w:cstheme="minorHAnsi"/>
                <w:color w:val="000000" w:themeColor="text1"/>
                <w:lang w:val="de-DE"/>
              </w:rPr>
              <w:t>ach §</w:t>
            </w:r>
            <w:r w:rsidR="00CB2618" w:rsidRPr="00C77207">
              <w:rPr>
                <w:rFonts w:cstheme="minorHAnsi"/>
                <w:color w:val="000000" w:themeColor="text1"/>
                <w:lang w:val="de-DE"/>
              </w:rPr>
              <w:t xml:space="preserve"> </w:t>
            </w:r>
            <w:r w:rsidR="005677BA" w:rsidRPr="00C77207">
              <w:rPr>
                <w:rFonts w:cstheme="minorHAnsi"/>
                <w:color w:val="000000" w:themeColor="text1"/>
                <w:lang w:val="de-DE"/>
              </w:rPr>
              <w:t>1 AufenthG für Ausländer, die ausgewiesen, zurückgeschoben oder abgeschoben wurde, ein Einreiseverbot in die Bundesrepublik</w:t>
            </w:r>
            <w:r w:rsidRPr="00C77207">
              <w:rPr>
                <w:rFonts w:cstheme="minorHAnsi"/>
                <w:color w:val="000000" w:themeColor="text1"/>
                <w:lang w:val="de-DE"/>
              </w:rPr>
              <w:t xml:space="preserve"> gilt</w:t>
            </w:r>
            <w:r w:rsidR="005677BA" w:rsidRPr="00C77207">
              <w:rPr>
                <w:rFonts w:cstheme="minorHAnsi"/>
                <w:color w:val="000000" w:themeColor="text1"/>
                <w:lang w:val="de-DE"/>
              </w:rPr>
              <w:t xml:space="preserve">. </w:t>
            </w:r>
            <w:r w:rsidR="00BD19CA" w:rsidRPr="00C77207">
              <w:rPr>
                <w:rFonts w:cstheme="minorHAnsi"/>
                <w:color w:val="000000" w:themeColor="text1"/>
                <w:lang w:val="de-DE"/>
              </w:rPr>
              <w:t>Besteht ein Ausweisungsinteresse kann gem. §</w:t>
            </w:r>
            <w:r w:rsidR="00CB2618" w:rsidRPr="00C77207">
              <w:rPr>
                <w:rFonts w:cstheme="minorHAnsi"/>
                <w:color w:val="000000" w:themeColor="text1"/>
                <w:lang w:val="de-DE"/>
              </w:rPr>
              <w:t xml:space="preserve"> </w:t>
            </w:r>
            <w:r w:rsidR="00BD19CA" w:rsidRPr="00C77207">
              <w:rPr>
                <w:rFonts w:cstheme="minorHAnsi"/>
                <w:color w:val="000000" w:themeColor="text1"/>
                <w:lang w:val="de-DE"/>
              </w:rPr>
              <w:t xml:space="preserve">5 </w:t>
            </w:r>
            <w:r w:rsidR="00CB2618" w:rsidRPr="00C77207">
              <w:rPr>
                <w:rFonts w:cstheme="minorHAnsi"/>
                <w:color w:val="000000" w:themeColor="text1"/>
                <w:lang w:val="de-DE"/>
              </w:rPr>
              <w:t>Abs. 1</w:t>
            </w:r>
            <w:r w:rsidR="00BD19CA" w:rsidRPr="00C77207">
              <w:rPr>
                <w:rFonts w:cstheme="minorHAnsi"/>
                <w:color w:val="000000" w:themeColor="text1"/>
                <w:lang w:val="de-DE"/>
              </w:rPr>
              <w:t xml:space="preserve"> Nr. 2 AufenthG </w:t>
            </w:r>
            <w:r w:rsidR="000A00DB" w:rsidRPr="00C77207">
              <w:rPr>
                <w:rFonts w:cstheme="minorHAnsi"/>
                <w:color w:val="000000" w:themeColor="text1"/>
                <w:lang w:val="de-DE"/>
              </w:rPr>
              <w:t xml:space="preserve">auch </w:t>
            </w:r>
            <w:r w:rsidR="00BD19CA" w:rsidRPr="00C77207">
              <w:rPr>
                <w:rFonts w:cstheme="minorHAnsi"/>
                <w:color w:val="000000" w:themeColor="text1"/>
                <w:lang w:val="de-DE"/>
              </w:rPr>
              <w:t xml:space="preserve">die Erteilung eines Aufenthaltstitels in der Regel verweigert werden. </w:t>
            </w:r>
            <w:r w:rsidR="005677BA" w:rsidRPr="00C77207">
              <w:rPr>
                <w:rFonts w:cstheme="minorHAnsi"/>
                <w:color w:val="000000" w:themeColor="text1"/>
                <w:lang w:val="de-DE"/>
              </w:rPr>
              <w:t>Eine Ausweisung kann nach §</w:t>
            </w:r>
            <w:r w:rsidR="00CB2618" w:rsidRPr="00C77207">
              <w:rPr>
                <w:rFonts w:cstheme="minorHAnsi"/>
                <w:color w:val="000000" w:themeColor="text1"/>
                <w:lang w:val="de-DE"/>
              </w:rPr>
              <w:t xml:space="preserve"> </w:t>
            </w:r>
            <w:r w:rsidR="005677BA" w:rsidRPr="00C77207">
              <w:rPr>
                <w:rFonts w:cstheme="minorHAnsi"/>
                <w:color w:val="000000" w:themeColor="text1"/>
                <w:lang w:val="de-DE"/>
              </w:rPr>
              <w:t xml:space="preserve">53 </w:t>
            </w:r>
            <w:r w:rsidR="00CB2618" w:rsidRPr="00C77207">
              <w:rPr>
                <w:rFonts w:cstheme="minorHAnsi"/>
                <w:color w:val="000000" w:themeColor="text1"/>
                <w:lang w:val="de-DE"/>
              </w:rPr>
              <w:t>Abs. 1</w:t>
            </w:r>
            <w:r w:rsidR="005677BA" w:rsidRPr="00C77207">
              <w:rPr>
                <w:rFonts w:cstheme="minorHAnsi"/>
                <w:color w:val="000000" w:themeColor="text1"/>
                <w:lang w:val="de-DE"/>
              </w:rPr>
              <w:t xml:space="preserve"> AufenthG dann erfolgen, wenn der Aufenthalt die öffentliche Sicherheit und Ordnung gefährdet und das öffentliche Interesse an der Ausreise das Interesse des Ausländers am Verbleib überwiegt. Dabei wiegt das Ausweisungsinteresse des Staates gem. §</w:t>
            </w:r>
            <w:r w:rsidR="00CB2618" w:rsidRPr="00C77207">
              <w:rPr>
                <w:rFonts w:cstheme="minorHAnsi"/>
                <w:color w:val="000000" w:themeColor="text1"/>
                <w:lang w:val="de-DE"/>
              </w:rPr>
              <w:t xml:space="preserve"> </w:t>
            </w:r>
            <w:r w:rsidR="005677BA" w:rsidRPr="00C77207">
              <w:rPr>
                <w:rFonts w:cstheme="minorHAnsi"/>
                <w:color w:val="000000" w:themeColor="text1"/>
                <w:lang w:val="de-DE"/>
              </w:rPr>
              <w:t xml:space="preserve">54 </w:t>
            </w:r>
            <w:r w:rsidR="00CB2618" w:rsidRPr="00C77207">
              <w:rPr>
                <w:rFonts w:cstheme="minorHAnsi"/>
                <w:color w:val="000000" w:themeColor="text1"/>
                <w:lang w:val="de-DE"/>
              </w:rPr>
              <w:t>Abs. 1</w:t>
            </w:r>
            <w:r w:rsidR="005677BA" w:rsidRPr="00C77207">
              <w:rPr>
                <w:rFonts w:cstheme="minorHAnsi"/>
                <w:color w:val="000000" w:themeColor="text1"/>
                <w:lang w:val="de-DE"/>
              </w:rPr>
              <w:t xml:space="preserve"> Nr.</w:t>
            </w:r>
            <w:r w:rsidR="00CB2618" w:rsidRPr="00C77207">
              <w:rPr>
                <w:rFonts w:cstheme="minorHAnsi"/>
                <w:color w:val="000000" w:themeColor="text1"/>
                <w:lang w:val="de-DE"/>
              </w:rPr>
              <w:t xml:space="preserve"> </w:t>
            </w:r>
            <w:r w:rsidR="005677BA" w:rsidRPr="00C77207">
              <w:rPr>
                <w:rFonts w:cstheme="minorHAnsi"/>
                <w:color w:val="000000" w:themeColor="text1"/>
                <w:lang w:val="de-DE"/>
              </w:rPr>
              <w:t xml:space="preserve">1a </w:t>
            </w:r>
            <w:r w:rsidR="00CB2618" w:rsidRPr="00C77207">
              <w:rPr>
                <w:rFonts w:cstheme="minorHAnsi"/>
                <w:color w:val="000000" w:themeColor="text1"/>
                <w:lang w:val="de-DE"/>
              </w:rPr>
              <w:t xml:space="preserve">lit. </w:t>
            </w:r>
            <w:r w:rsidR="005677BA" w:rsidRPr="00C77207">
              <w:rPr>
                <w:rFonts w:cstheme="minorHAnsi"/>
                <w:color w:val="000000" w:themeColor="text1"/>
                <w:lang w:val="de-DE"/>
              </w:rPr>
              <w:t xml:space="preserve">c) AufenthG besonders schwer, wenn der Ausländer rechtskräftig zu einer Freiheits- oder Jugendstrafe von mindestens einem Jahr wegen einer oder mehrerer vorsätzlicher Straftaten gegen die sexuelle Selbstbestimmung </w:t>
            </w:r>
            <w:r w:rsidR="00BD19CA" w:rsidRPr="00C77207">
              <w:rPr>
                <w:rFonts w:cstheme="minorHAnsi"/>
                <w:color w:val="000000" w:themeColor="text1"/>
                <w:lang w:val="de-DE"/>
              </w:rPr>
              <w:t>nach §§</w:t>
            </w:r>
            <w:r w:rsidR="00CB2618" w:rsidRPr="00C77207">
              <w:rPr>
                <w:rFonts w:cstheme="minorHAnsi"/>
                <w:color w:val="000000" w:themeColor="text1"/>
                <w:lang w:val="de-DE"/>
              </w:rPr>
              <w:t xml:space="preserve"> </w:t>
            </w:r>
            <w:r w:rsidR="00BD19CA" w:rsidRPr="00C77207">
              <w:rPr>
                <w:rFonts w:cstheme="minorHAnsi"/>
                <w:color w:val="000000" w:themeColor="text1"/>
                <w:lang w:val="de-DE"/>
              </w:rPr>
              <w:t>174, 176-178, 181a, 184b, 184d, 184e StGB verurteilt wurde.</w:t>
            </w:r>
          </w:p>
          <w:p w14:paraId="3ADE4ABB" w14:textId="77777777" w:rsidR="00767ABC" w:rsidRPr="00C77207" w:rsidRDefault="00767ABC" w:rsidP="008543B6">
            <w:pPr>
              <w:rPr>
                <w:rFonts w:cstheme="minorHAnsi"/>
                <w:color w:val="000000" w:themeColor="text1"/>
                <w:lang w:val="de-DE"/>
              </w:rPr>
            </w:pPr>
          </w:p>
          <w:p w14:paraId="72B6EB5D" w14:textId="56897ED4" w:rsidR="00767ABC" w:rsidRPr="00C77207" w:rsidRDefault="00767ABC" w:rsidP="008543B6">
            <w:pPr>
              <w:rPr>
                <w:rFonts w:cstheme="minorHAnsi"/>
                <w:color w:val="000000" w:themeColor="text1"/>
                <w:lang w:val="de-DE"/>
              </w:rPr>
            </w:pPr>
            <w:r w:rsidRPr="00C77207">
              <w:rPr>
                <w:rFonts w:cstheme="minorHAnsi"/>
                <w:color w:val="000000" w:themeColor="text1"/>
                <w:lang w:val="de-DE"/>
              </w:rPr>
              <w:t>Für EU-Bürger gilt das Freizügigkeitsgesetz, §</w:t>
            </w:r>
            <w:r w:rsidR="00CB2618" w:rsidRPr="00C77207">
              <w:rPr>
                <w:rFonts w:cstheme="minorHAnsi"/>
                <w:color w:val="000000" w:themeColor="text1"/>
                <w:lang w:val="de-DE"/>
              </w:rPr>
              <w:t xml:space="preserve"> </w:t>
            </w:r>
            <w:r w:rsidRPr="00C77207">
              <w:rPr>
                <w:rFonts w:cstheme="minorHAnsi"/>
                <w:color w:val="000000" w:themeColor="text1"/>
                <w:lang w:val="de-DE"/>
              </w:rPr>
              <w:t xml:space="preserve">1 FreizügG. Nach §6 </w:t>
            </w:r>
            <w:r w:rsidR="00CB2618" w:rsidRPr="00C77207">
              <w:rPr>
                <w:rFonts w:cstheme="minorHAnsi"/>
                <w:color w:val="000000" w:themeColor="text1"/>
                <w:lang w:val="de-DE"/>
              </w:rPr>
              <w:t>Abs. 1</w:t>
            </w:r>
            <w:r w:rsidRPr="00C77207">
              <w:rPr>
                <w:rFonts w:cstheme="minorHAnsi"/>
                <w:color w:val="000000" w:themeColor="text1"/>
                <w:lang w:val="de-DE"/>
              </w:rPr>
              <w:t xml:space="preserve">, </w:t>
            </w:r>
            <w:r w:rsidR="00CB2618" w:rsidRPr="00C77207">
              <w:rPr>
                <w:rFonts w:cstheme="minorHAnsi"/>
                <w:color w:val="000000" w:themeColor="text1"/>
                <w:lang w:val="de-DE"/>
              </w:rPr>
              <w:t>Abs. 2</w:t>
            </w:r>
            <w:r w:rsidRPr="00C77207">
              <w:rPr>
                <w:rFonts w:cstheme="minorHAnsi"/>
                <w:color w:val="000000" w:themeColor="text1"/>
                <w:lang w:val="de-DE"/>
              </w:rPr>
              <w:t xml:space="preserve"> FreizügG kann eine strafrechtliche Verurteilung dann zum Verlust des Rechts auf Einreise und Aufenthalt führen, wenn die Verurteilung im Bundeszentralregister noch nicht getilgt wurde, die der Verurteilung zugrundeliegenden Umstände ein persönliches Verhalten erkennen lassen, das eine gegenwärtige Gefährdung der öffentlichen Ordnung darstellt und eine tatsächliche und hinreichend schwere Gefährdung vorliegt, die ein Grundinteresse der Gesellschaft berührt. Dies wird bei Menschenhandel sowie </w:t>
            </w:r>
            <w:r w:rsidRPr="00C77207">
              <w:rPr>
                <w:rFonts w:cstheme="minorHAnsi"/>
                <w:color w:val="000000" w:themeColor="text1"/>
                <w:lang w:val="de-DE"/>
              </w:rPr>
              <w:lastRenderedPageBreak/>
              <w:t>der sexuellen Ausbeutung von Kindern in der Regel der Fall sein.</w:t>
            </w:r>
            <w:r w:rsidRPr="00C77207">
              <w:rPr>
                <w:rStyle w:val="FootnoteReference"/>
                <w:rFonts w:cstheme="minorHAnsi"/>
                <w:color w:val="000000" w:themeColor="text1"/>
                <w:lang w:val="de-DE"/>
              </w:rPr>
              <w:footnoteReference w:id="12"/>
            </w:r>
          </w:p>
          <w:p w14:paraId="65E38E09" w14:textId="77777777" w:rsidR="00637622" w:rsidRPr="00C77207" w:rsidRDefault="00637622" w:rsidP="008543B6">
            <w:pPr>
              <w:rPr>
                <w:rFonts w:cstheme="minorHAnsi"/>
                <w:color w:val="000000" w:themeColor="text1"/>
                <w:lang w:val="de-DE"/>
              </w:rPr>
            </w:pPr>
          </w:p>
          <w:p w14:paraId="4CFB4DEB" w14:textId="57477C58" w:rsidR="00637622" w:rsidRPr="00C77207" w:rsidRDefault="00637622" w:rsidP="008543B6">
            <w:pPr>
              <w:rPr>
                <w:rFonts w:cstheme="minorHAnsi"/>
                <w:color w:val="000000" w:themeColor="text1"/>
                <w:lang w:val="de-DE"/>
              </w:rPr>
            </w:pPr>
            <w:r w:rsidRPr="00C77207">
              <w:rPr>
                <w:rFonts w:cstheme="minorHAnsi"/>
                <w:color w:val="000000" w:themeColor="text1"/>
                <w:lang w:val="de-DE"/>
              </w:rPr>
              <w:t>Einem deutschen Täter kann gem. §</w:t>
            </w:r>
            <w:r w:rsidR="00CB2618" w:rsidRPr="00C77207">
              <w:rPr>
                <w:rFonts w:cstheme="minorHAnsi"/>
                <w:color w:val="000000" w:themeColor="text1"/>
                <w:lang w:val="de-DE"/>
              </w:rPr>
              <w:t xml:space="preserve"> </w:t>
            </w:r>
            <w:r w:rsidRPr="00C77207">
              <w:rPr>
                <w:rFonts w:cstheme="minorHAnsi"/>
                <w:color w:val="000000" w:themeColor="text1"/>
                <w:lang w:val="de-DE"/>
              </w:rPr>
              <w:t xml:space="preserve">10 </w:t>
            </w:r>
            <w:r w:rsidR="00CB2618" w:rsidRPr="00C77207">
              <w:rPr>
                <w:rFonts w:cstheme="minorHAnsi"/>
                <w:color w:val="000000" w:themeColor="text1"/>
                <w:lang w:val="de-DE"/>
              </w:rPr>
              <w:t>Abs. 1</w:t>
            </w:r>
            <w:r w:rsidRPr="00C77207">
              <w:rPr>
                <w:rFonts w:cstheme="minorHAnsi"/>
                <w:color w:val="000000" w:themeColor="text1"/>
                <w:lang w:val="de-DE"/>
              </w:rPr>
              <w:t xml:space="preserve"> PaßG die Ausreise untersagt werden, wenn ihm der Pass nach §</w:t>
            </w:r>
            <w:r w:rsidR="00CB2618" w:rsidRPr="00C77207">
              <w:rPr>
                <w:rFonts w:cstheme="minorHAnsi"/>
                <w:color w:val="000000" w:themeColor="text1"/>
                <w:lang w:val="de-DE"/>
              </w:rPr>
              <w:t xml:space="preserve"> </w:t>
            </w:r>
            <w:r w:rsidRPr="00C77207">
              <w:rPr>
                <w:rFonts w:cstheme="minorHAnsi"/>
                <w:color w:val="000000" w:themeColor="text1"/>
                <w:lang w:val="de-DE"/>
              </w:rPr>
              <w:t xml:space="preserve">7 </w:t>
            </w:r>
            <w:r w:rsidR="00CB2618" w:rsidRPr="00C77207">
              <w:rPr>
                <w:rFonts w:cstheme="minorHAnsi"/>
                <w:color w:val="000000" w:themeColor="text1"/>
                <w:lang w:val="de-DE"/>
              </w:rPr>
              <w:t>Abs. 1</w:t>
            </w:r>
            <w:r w:rsidRPr="00C77207">
              <w:rPr>
                <w:rFonts w:cstheme="minorHAnsi"/>
                <w:color w:val="000000" w:themeColor="text1"/>
                <w:lang w:val="de-DE"/>
              </w:rPr>
              <w:t xml:space="preserve"> PaßG versagt oder nach §</w:t>
            </w:r>
            <w:r w:rsidR="00CB2618" w:rsidRPr="00C77207">
              <w:rPr>
                <w:rFonts w:cstheme="minorHAnsi"/>
                <w:color w:val="000000" w:themeColor="text1"/>
                <w:lang w:val="de-DE"/>
              </w:rPr>
              <w:t xml:space="preserve"> </w:t>
            </w:r>
            <w:r w:rsidRPr="00C77207">
              <w:rPr>
                <w:rFonts w:cstheme="minorHAnsi"/>
                <w:color w:val="000000" w:themeColor="text1"/>
                <w:lang w:val="de-DE"/>
              </w:rPr>
              <w:t>8 PaßG entzogen wurde. Der Pa</w:t>
            </w:r>
            <w:r w:rsidR="00B30F51" w:rsidRPr="00C77207">
              <w:rPr>
                <w:rFonts w:cstheme="minorHAnsi"/>
                <w:color w:val="000000" w:themeColor="text1"/>
                <w:lang w:val="de-DE"/>
              </w:rPr>
              <w:t>ss</w:t>
            </w:r>
            <w:r w:rsidRPr="00C77207">
              <w:rPr>
                <w:rFonts w:cstheme="minorHAnsi"/>
                <w:color w:val="000000" w:themeColor="text1"/>
                <w:lang w:val="de-DE"/>
              </w:rPr>
              <w:t xml:space="preserve"> kann nach §</w:t>
            </w:r>
            <w:r w:rsidR="00CB2618" w:rsidRPr="00C77207">
              <w:rPr>
                <w:rFonts w:cstheme="minorHAnsi"/>
                <w:color w:val="000000" w:themeColor="text1"/>
                <w:lang w:val="de-DE"/>
              </w:rPr>
              <w:t xml:space="preserve"> </w:t>
            </w:r>
            <w:r w:rsidRPr="00C77207">
              <w:rPr>
                <w:rFonts w:cstheme="minorHAnsi"/>
                <w:color w:val="000000" w:themeColor="text1"/>
                <w:lang w:val="de-DE"/>
              </w:rPr>
              <w:t xml:space="preserve">7 </w:t>
            </w:r>
            <w:r w:rsidR="00CB2618" w:rsidRPr="00C77207">
              <w:rPr>
                <w:rFonts w:cstheme="minorHAnsi"/>
                <w:color w:val="000000" w:themeColor="text1"/>
                <w:lang w:val="de-DE"/>
              </w:rPr>
              <w:t>Abs. 1</w:t>
            </w:r>
            <w:r w:rsidRPr="00C77207">
              <w:rPr>
                <w:rFonts w:cstheme="minorHAnsi"/>
                <w:color w:val="000000" w:themeColor="text1"/>
                <w:lang w:val="de-DE"/>
              </w:rPr>
              <w:t xml:space="preserve"> Nr. 2 PaßG u.a. versagt werden, wenn bestimmte Tatsachen die Annahme begründen, dass der Pa</w:t>
            </w:r>
            <w:r w:rsidR="00B30F51" w:rsidRPr="00C77207">
              <w:rPr>
                <w:rFonts w:cstheme="minorHAnsi"/>
                <w:color w:val="000000" w:themeColor="text1"/>
                <w:lang w:val="de-DE"/>
              </w:rPr>
              <w:t>ss</w:t>
            </w:r>
            <w:r w:rsidRPr="00C77207">
              <w:rPr>
                <w:rFonts w:cstheme="minorHAnsi"/>
                <w:color w:val="000000" w:themeColor="text1"/>
                <w:lang w:val="de-DE"/>
              </w:rPr>
              <w:t>bewerber sich einer Strafverfolgung oder -vollstreckung entziehen will. Zur Untersagung der Ausreise ist nach §</w:t>
            </w:r>
            <w:r w:rsidR="00CB2618" w:rsidRPr="00C77207">
              <w:rPr>
                <w:rFonts w:cstheme="minorHAnsi"/>
                <w:color w:val="000000" w:themeColor="text1"/>
                <w:lang w:val="de-DE"/>
              </w:rPr>
              <w:t xml:space="preserve"> </w:t>
            </w:r>
            <w:r w:rsidRPr="00C77207">
              <w:rPr>
                <w:rFonts w:cstheme="minorHAnsi"/>
                <w:color w:val="000000" w:themeColor="text1"/>
                <w:lang w:val="de-DE"/>
              </w:rPr>
              <w:t xml:space="preserve">10 </w:t>
            </w:r>
            <w:r w:rsidR="00CB2618" w:rsidRPr="00C77207">
              <w:rPr>
                <w:rFonts w:cstheme="minorHAnsi"/>
                <w:color w:val="000000" w:themeColor="text1"/>
                <w:lang w:val="de-DE"/>
              </w:rPr>
              <w:t>Abs. 1 S. 2</w:t>
            </w:r>
            <w:r w:rsidRPr="00C77207">
              <w:rPr>
                <w:rFonts w:cstheme="minorHAnsi"/>
                <w:color w:val="000000" w:themeColor="text1"/>
                <w:lang w:val="de-DE"/>
              </w:rPr>
              <w:t xml:space="preserve"> PaßG ausreichend, dass Tatsachen die Annahme rechtfertigen, dass die Voraussetzungen des §</w:t>
            </w:r>
            <w:r w:rsidR="00CB2618" w:rsidRPr="00C77207">
              <w:rPr>
                <w:rFonts w:cstheme="minorHAnsi"/>
                <w:color w:val="000000" w:themeColor="text1"/>
                <w:lang w:val="de-DE"/>
              </w:rPr>
              <w:t xml:space="preserve"> </w:t>
            </w:r>
            <w:r w:rsidRPr="00C77207">
              <w:rPr>
                <w:rFonts w:cstheme="minorHAnsi"/>
                <w:color w:val="000000" w:themeColor="text1"/>
                <w:lang w:val="de-DE"/>
              </w:rPr>
              <w:t xml:space="preserve">7 </w:t>
            </w:r>
            <w:r w:rsidR="00CB2618" w:rsidRPr="00C77207">
              <w:rPr>
                <w:rFonts w:cstheme="minorHAnsi"/>
                <w:color w:val="000000" w:themeColor="text1"/>
                <w:lang w:val="de-DE"/>
              </w:rPr>
              <w:t>Abs. 1</w:t>
            </w:r>
            <w:r w:rsidRPr="00C77207">
              <w:rPr>
                <w:rFonts w:cstheme="minorHAnsi"/>
                <w:color w:val="000000" w:themeColor="text1"/>
                <w:lang w:val="de-DE"/>
              </w:rPr>
              <w:t xml:space="preserve"> Nr.</w:t>
            </w:r>
            <w:r w:rsidR="00732F11" w:rsidRPr="00C77207">
              <w:rPr>
                <w:rFonts w:cstheme="minorHAnsi"/>
                <w:color w:val="000000" w:themeColor="text1"/>
                <w:lang w:val="de-DE"/>
              </w:rPr>
              <w:t xml:space="preserve"> 2 PaßG vorliegen. Die Einreise darf einem Deutschen gem. §</w:t>
            </w:r>
            <w:r w:rsidR="00CB2618" w:rsidRPr="00C77207">
              <w:rPr>
                <w:rFonts w:cstheme="minorHAnsi"/>
                <w:color w:val="000000" w:themeColor="text1"/>
                <w:lang w:val="de-DE"/>
              </w:rPr>
              <w:t xml:space="preserve"> </w:t>
            </w:r>
            <w:r w:rsidR="00732F11" w:rsidRPr="00C77207">
              <w:rPr>
                <w:rFonts w:cstheme="minorHAnsi"/>
                <w:color w:val="000000" w:themeColor="text1"/>
                <w:lang w:val="de-DE"/>
              </w:rPr>
              <w:t xml:space="preserve">10 </w:t>
            </w:r>
            <w:r w:rsidR="00CB2618" w:rsidRPr="00C77207">
              <w:rPr>
                <w:rFonts w:cstheme="minorHAnsi"/>
                <w:color w:val="000000" w:themeColor="text1"/>
                <w:lang w:val="de-DE"/>
              </w:rPr>
              <w:t>Abs. 3</w:t>
            </w:r>
            <w:r w:rsidR="00732F11" w:rsidRPr="00C77207">
              <w:rPr>
                <w:rFonts w:cstheme="minorHAnsi"/>
                <w:color w:val="000000" w:themeColor="text1"/>
                <w:lang w:val="de-DE"/>
              </w:rPr>
              <w:t xml:space="preserve"> PaßG nicht untersagt werden. </w:t>
            </w:r>
          </w:p>
        </w:tc>
      </w:tr>
      <w:tr w:rsidR="001C2BA0" w:rsidRPr="008D603F" w14:paraId="1A5A0622" w14:textId="77777777" w:rsidTr="00A57D8B">
        <w:trPr>
          <w:trHeight w:val="557"/>
        </w:trPr>
        <w:tc>
          <w:tcPr>
            <w:tcW w:w="425" w:type="dxa"/>
          </w:tcPr>
          <w:p w14:paraId="0A5EE99D" w14:textId="77777777" w:rsidR="001C2BA0" w:rsidRPr="005677BA" w:rsidRDefault="001C2BA0" w:rsidP="001C2BA0">
            <w:pPr>
              <w:numPr>
                <w:ilvl w:val="0"/>
                <w:numId w:val="2"/>
              </w:numPr>
              <w:contextualSpacing/>
              <w:rPr>
                <w:rFonts w:ascii="Calibri" w:hAnsi="Calibri" w:cs="Calibri"/>
                <w:szCs w:val="28"/>
                <w:lang w:val="de-DE"/>
              </w:rPr>
            </w:pPr>
          </w:p>
        </w:tc>
        <w:tc>
          <w:tcPr>
            <w:tcW w:w="5387" w:type="dxa"/>
          </w:tcPr>
          <w:p w14:paraId="7634CFD9" w14:textId="6C2FA22D" w:rsidR="001C2BA0" w:rsidRPr="001D5DB6" w:rsidRDefault="0076137D" w:rsidP="001C2BA0">
            <w:pPr>
              <w:rPr>
                <w:rFonts w:ascii="Calibri" w:hAnsi="Calibri" w:cs="Calibri"/>
                <w:color w:val="000000" w:themeColor="text1"/>
                <w:lang w:val="de-DE"/>
              </w:rPr>
            </w:pPr>
            <w:r w:rsidRPr="004B0521">
              <w:rPr>
                <w:rFonts w:eastAsia="Calibri" w:cstheme="minorHAnsi"/>
                <w:color w:val="000000" w:themeColor="text1"/>
                <w:lang w:val="de-DE"/>
              </w:rPr>
              <w:t>E</w:t>
            </w:r>
            <w:r w:rsidR="001D5DB6" w:rsidRPr="000F3F4C">
              <w:rPr>
                <w:rFonts w:eastAsia="Calibri" w:cstheme="minorHAnsi"/>
                <w:b/>
                <w:color w:val="000000" w:themeColor="text1"/>
                <w:lang w:val="de-DE"/>
              </w:rPr>
              <w:t>i</w:t>
            </w:r>
            <w:r w:rsidR="001D5DB6" w:rsidRPr="001D5DB6">
              <w:rPr>
                <w:rFonts w:eastAsia="Calibri" w:cstheme="minorHAnsi"/>
                <w:b/>
                <w:color w:val="000000" w:themeColor="text1"/>
                <w:lang w:val="de-DE"/>
              </w:rPr>
              <w:t>nheitliche</w:t>
            </w:r>
            <w:r w:rsidR="00BA1863">
              <w:rPr>
                <w:rFonts w:eastAsia="Calibri" w:cstheme="minorHAnsi"/>
                <w:b/>
                <w:color w:val="000000" w:themeColor="text1"/>
                <w:lang w:val="de-DE"/>
              </w:rPr>
              <w:t>n</w:t>
            </w:r>
            <w:r w:rsidR="001D5DB6" w:rsidRPr="001D5DB6">
              <w:rPr>
                <w:rFonts w:eastAsia="Calibri" w:cstheme="minorHAnsi"/>
                <w:b/>
                <w:color w:val="000000" w:themeColor="text1"/>
                <w:lang w:val="de-DE"/>
              </w:rPr>
              <w:t xml:space="preserve"> Definition des Begriff</w:t>
            </w:r>
            <w:r w:rsidR="002F57B9">
              <w:rPr>
                <w:rFonts w:eastAsia="Calibri" w:cstheme="minorHAnsi"/>
                <w:b/>
                <w:color w:val="000000" w:themeColor="text1"/>
                <w:lang w:val="de-DE"/>
              </w:rPr>
              <w:t>e</w:t>
            </w:r>
            <w:r w:rsidR="001D5DB6" w:rsidRPr="001D5DB6">
              <w:rPr>
                <w:rFonts w:eastAsia="Calibri" w:cstheme="minorHAnsi"/>
                <w:b/>
                <w:color w:val="000000" w:themeColor="text1"/>
                <w:lang w:val="de-DE"/>
              </w:rPr>
              <w:t xml:space="preserve">s </w:t>
            </w:r>
            <w:r w:rsidR="005E1DC0">
              <w:rPr>
                <w:rFonts w:eastAsia="Calibri" w:cstheme="minorHAnsi"/>
                <w:b/>
                <w:color w:val="000000" w:themeColor="text1"/>
                <w:lang w:val="de-DE"/>
              </w:rPr>
              <w:t>„</w:t>
            </w:r>
            <w:r w:rsidR="001D5DB6" w:rsidRPr="001D5DB6">
              <w:rPr>
                <w:rFonts w:eastAsia="Calibri" w:cstheme="minorHAnsi"/>
                <w:b/>
                <w:color w:val="000000" w:themeColor="text1"/>
                <w:lang w:val="de-DE"/>
              </w:rPr>
              <w:t>Kind</w:t>
            </w:r>
            <w:r w:rsidR="005E1DC0">
              <w:rPr>
                <w:rFonts w:eastAsia="Calibri" w:cstheme="minorHAnsi"/>
                <w:b/>
                <w:color w:val="000000" w:themeColor="text1"/>
                <w:lang w:val="de-DE"/>
              </w:rPr>
              <w:t>“</w:t>
            </w:r>
            <w:r w:rsidR="001D5DB6" w:rsidRPr="001D5DB6">
              <w:rPr>
                <w:rFonts w:eastAsia="Calibri" w:cstheme="minorHAnsi"/>
                <w:color w:val="000000" w:themeColor="text1"/>
                <w:lang w:val="de-DE"/>
              </w:rPr>
              <w:t xml:space="preserve"> als Person unter 18 Jahren für alle Straftaten der sexuellen Ausbeutung, unabhängig vom Alter der sexuellen </w:t>
            </w:r>
            <w:r w:rsidR="001D5DB6">
              <w:rPr>
                <w:rFonts w:eastAsia="Calibri" w:cstheme="minorHAnsi"/>
                <w:color w:val="000000" w:themeColor="text1"/>
                <w:lang w:val="de-DE"/>
              </w:rPr>
              <w:t>Mündigkeit</w:t>
            </w:r>
            <w:r w:rsidR="00BA1863">
              <w:rPr>
                <w:rFonts w:eastAsia="Calibri" w:cstheme="minorHAnsi"/>
                <w:color w:val="000000" w:themeColor="text1"/>
                <w:lang w:val="de-DE"/>
              </w:rPr>
              <w:t>.</w:t>
            </w:r>
          </w:p>
        </w:tc>
        <w:tc>
          <w:tcPr>
            <w:tcW w:w="1701" w:type="dxa"/>
          </w:tcPr>
          <w:p w14:paraId="789C4EA7" w14:textId="55C402CE" w:rsidR="001C2BA0" w:rsidRPr="00A57D8B" w:rsidRDefault="00C55A34" w:rsidP="001C2BA0">
            <w:pPr>
              <w:rPr>
                <w:rFonts w:ascii="Calibri" w:hAnsi="Calibri" w:cs="Calibri"/>
                <w:bCs/>
                <w:color w:val="000000" w:themeColor="text1"/>
                <w:lang w:val="en-GB"/>
              </w:rPr>
            </w:pPr>
            <w:proofErr w:type="spellStart"/>
            <w:r>
              <w:rPr>
                <w:rFonts w:ascii="Calibri" w:hAnsi="Calibri" w:cs="Calibri"/>
                <w:bCs/>
                <w:color w:val="000000" w:themeColor="text1"/>
                <w:lang w:val="en-GB"/>
              </w:rPr>
              <w:t>Teilweise</w:t>
            </w:r>
            <w:proofErr w:type="spellEnd"/>
          </w:p>
        </w:tc>
        <w:tc>
          <w:tcPr>
            <w:tcW w:w="5523" w:type="dxa"/>
          </w:tcPr>
          <w:p w14:paraId="3A564320" w14:textId="42EF7196" w:rsidR="001C2BA0" w:rsidRPr="00C77207" w:rsidRDefault="00C5673B" w:rsidP="008543B6">
            <w:pPr>
              <w:rPr>
                <w:rFonts w:cstheme="minorHAnsi"/>
                <w:color w:val="000000" w:themeColor="text1"/>
                <w:lang w:val="de-DE"/>
              </w:rPr>
            </w:pPr>
            <w:r w:rsidRPr="00C77207">
              <w:rPr>
                <w:rFonts w:cstheme="minorHAnsi"/>
                <w:color w:val="000000" w:themeColor="text1"/>
                <w:lang w:val="de-DE"/>
              </w:rPr>
              <w:t>In den verschiedenen Tatbestände</w:t>
            </w:r>
            <w:r w:rsidR="000A00DB" w:rsidRPr="00C77207">
              <w:rPr>
                <w:rFonts w:cstheme="minorHAnsi"/>
                <w:color w:val="000000" w:themeColor="text1"/>
                <w:lang w:val="de-DE"/>
              </w:rPr>
              <w:t>n</w:t>
            </w:r>
            <w:r w:rsidRPr="00C77207">
              <w:rPr>
                <w:rFonts w:cstheme="minorHAnsi"/>
                <w:color w:val="000000" w:themeColor="text1"/>
                <w:lang w:val="de-DE"/>
              </w:rPr>
              <w:t xml:space="preserve"> des sexuellen Missbrauchs von Minderjährigen werden verschiedene Altersgrenzen gesetzt. Nach §</w:t>
            </w:r>
            <w:r w:rsidR="00CB2618" w:rsidRPr="00C77207">
              <w:rPr>
                <w:rFonts w:cstheme="minorHAnsi"/>
                <w:color w:val="000000" w:themeColor="text1"/>
                <w:lang w:val="de-DE"/>
              </w:rPr>
              <w:t xml:space="preserve"> </w:t>
            </w:r>
            <w:r w:rsidRPr="00C77207">
              <w:rPr>
                <w:rFonts w:cstheme="minorHAnsi"/>
                <w:color w:val="000000" w:themeColor="text1"/>
                <w:lang w:val="de-DE"/>
              </w:rPr>
              <w:t xml:space="preserve">176 </w:t>
            </w:r>
            <w:r w:rsidR="00CB2618" w:rsidRPr="00C77207">
              <w:rPr>
                <w:rFonts w:cstheme="minorHAnsi"/>
                <w:color w:val="000000" w:themeColor="text1"/>
                <w:lang w:val="de-DE"/>
              </w:rPr>
              <w:t>Abs. 1</w:t>
            </w:r>
            <w:r w:rsidRPr="00C77207">
              <w:rPr>
                <w:rFonts w:cstheme="minorHAnsi"/>
                <w:color w:val="000000" w:themeColor="text1"/>
                <w:lang w:val="de-DE"/>
              </w:rPr>
              <w:t xml:space="preserve"> Nr.</w:t>
            </w:r>
            <w:r w:rsidR="00CB2618" w:rsidRPr="00C77207">
              <w:rPr>
                <w:rFonts w:cstheme="minorHAnsi"/>
                <w:color w:val="000000" w:themeColor="text1"/>
                <w:lang w:val="de-DE"/>
              </w:rPr>
              <w:t xml:space="preserve"> </w:t>
            </w:r>
            <w:r w:rsidRPr="00C77207">
              <w:rPr>
                <w:rFonts w:cstheme="minorHAnsi"/>
                <w:color w:val="000000" w:themeColor="text1"/>
                <w:lang w:val="de-DE"/>
              </w:rPr>
              <w:t>1 StGB ist ein Kind jede Person unter 14 Jahren. Die Förderung entgeltlicher sexueller Handlungen Minderjähriger gem. §</w:t>
            </w:r>
            <w:r w:rsidR="00CB2618" w:rsidRPr="00C77207">
              <w:rPr>
                <w:rFonts w:cstheme="minorHAnsi"/>
                <w:color w:val="000000" w:themeColor="text1"/>
                <w:lang w:val="de-DE"/>
              </w:rPr>
              <w:t xml:space="preserve"> </w:t>
            </w:r>
            <w:r w:rsidRPr="00C77207">
              <w:rPr>
                <w:rFonts w:cstheme="minorHAnsi"/>
                <w:color w:val="000000" w:themeColor="text1"/>
                <w:lang w:val="de-DE"/>
              </w:rPr>
              <w:t xml:space="preserve">180 </w:t>
            </w:r>
            <w:r w:rsidR="00CB2618" w:rsidRPr="00C77207">
              <w:rPr>
                <w:rFonts w:cstheme="minorHAnsi"/>
                <w:color w:val="000000" w:themeColor="text1"/>
                <w:lang w:val="de-DE"/>
              </w:rPr>
              <w:t xml:space="preserve">Abs. 2 </w:t>
            </w:r>
            <w:r w:rsidRPr="00C77207">
              <w:rPr>
                <w:rFonts w:cstheme="minorHAnsi"/>
                <w:color w:val="000000" w:themeColor="text1"/>
                <w:lang w:val="de-DE"/>
              </w:rPr>
              <w:t xml:space="preserve">StGB erfordert, dass das Opfer unter 18 Jahre alt ist. </w:t>
            </w:r>
            <w:r w:rsidR="00D72761" w:rsidRPr="00C77207">
              <w:rPr>
                <w:rFonts w:cstheme="minorHAnsi"/>
                <w:color w:val="000000" w:themeColor="text1"/>
                <w:lang w:val="de-DE"/>
              </w:rPr>
              <w:t>Ebenso liegt die Altersgrenze bei entgeltlichem sexuellen Kontakt mit Minderjährigen bei 18 Jahren, §</w:t>
            </w:r>
            <w:r w:rsidR="00CB2618" w:rsidRPr="00C77207">
              <w:rPr>
                <w:rFonts w:cstheme="minorHAnsi"/>
                <w:color w:val="000000" w:themeColor="text1"/>
                <w:lang w:val="de-DE"/>
              </w:rPr>
              <w:t xml:space="preserve"> </w:t>
            </w:r>
            <w:r w:rsidR="00D72761" w:rsidRPr="00C77207">
              <w:rPr>
                <w:rFonts w:cstheme="minorHAnsi"/>
                <w:color w:val="000000" w:themeColor="text1"/>
                <w:lang w:val="de-DE"/>
              </w:rPr>
              <w:t xml:space="preserve">182 </w:t>
            </w:r>
            <w:r w:rsidR="00CB2618" w:rsidRPr="00C77207">
              <w:rPr>
                <w:rFonts w:cstheme="minorHAnsi"/>
                <w:color w:val="000000" w:themeColor="text1"/>
                <w:lang w:val="de-DE"/>
              </w:rPr>
              <w:t>Abs. 2</w:t>
            </w:r>
            <w:r w:rsidR="00D72761" w:rsidRPr="00C77207">
              <w:rPr>
                <w:rFonts w:cstheme="minorHAnsi"/>
                <w:color w:val="000000" w:themeColor="text1"/>
                <w:lang w:val="de-DE"/>
              </w:rPr>
              <w:t xml:space="preserve"> StGB. Jugendliche werden in §</w:t>
            </w:r>
            <w:r w:rsidR="008D603F" w:rsidRPr="00C77207">
              <w:rPr>
                <w:rFonts w:cstheme="minorHAnsi"/>
                <w:color w:val="000000" w:themeColor="text1"/>
                <w:lang w:val="de-DE"/>
              </w:rPr>
              <w:t xml:space="preserve"> </w:t>
            </w:r>
            <w:r w:rsidR="00D72761" w:rsidRPr="00C77207">
              <w:rPr>
                <w:rFonts w:cstheme="minorHAnsi"/>
                <w:color w:val="000000" w:themeColor="text1"/>
                <w:lang w:val="de-DE"/>
              </w:rPr>
              <w:t xml:space="preserve">182 </w:t>
            </w:r>
            <w:r w:rsidR="008D603F" w:rsidRPr="00C77207">
              <w:rPr>
                <w:rFonts w:cstheme="minorHAnsi"/>
                <w:color w:val="000000" w:themeColor="text1"/>
                <w:lang w:val="de-DE"/>
              </w:rPr>
              <w:t>Abs. 1</w:t>
            </w:r>
            <w:r w:rsidR="00D72761" w:rsidRPr="00C77207">
              <w:rPr>
                <w:rFonts w:cstheme="minorHAnsi"/>
                <w:color w:val="000000" w:themeColor="text1"/>
                <w:lang w:val="de-DE"/>
              </w:rPr>
              <w:t xml:space="preserve"> StGB in Zusammenschau mit §</w:t>
            </w:r>
            <w:r w:rsidR="008D603F" w:rsidRPr="00C77207">
              <w:rPr>
                <w:rFonts w:cstheme="minorHAnsi"/>
                <w:color w:val="000000" w:themeColor="text1"/>
                <w:lang w:val="de-DE"/>
              </w:rPr>
              <w:t xml:space="preserve"> </w:t>
            </w:r>
            <w:r w:rsidR="00D72761" w:rsidRPr="00C77207">
              <w:rPr>
                <w:rFonts w:cstheme="minorHAnsi"/>
                <w:color w:val="000000" w:themeColor="text1"/>
                <w:lang w:val="de-DE"/>
              </w:rPr>
              <w:t xml:space="preserve">176 </w:t>
            </w:r>
            <w:r w:rsidR="008D603F" w:rsidRPr="00C77207">
              <w:rPr>
                <w:rFonts w:cstheme="minorHAnsi"/>
                <w:color w:val="000000" w:themeColor="text1"/>
                <w:lang w:val="de-DE"/>
              </w:rPr>
              <w:t>Abs. 1</w:t>
            </w:r>
            <w:r w:rsidR="00D72761" w:rsidRPr="00C77207">
              <w:rPr>
                <w:rFonts w:cstheme="minorHAnsi"/>
                <w:color w:val="000000" w:themeColor="text1"/>
                <w:lang w:val="de-DE"/>
              </w:rPr>
              <w:t xml:space="preserve"> Nr.</w:t>
            </w:r>
            <w:r w:rsidR="008D603F" w:rsidRPr="00C77207">
              <w:rPr>
                <w:rFonts w:cstheme="minorHAnsi"/>
                <w:color w:val="000000" w:themeColor="text1"/>
                <w:lang w:val="de-DE"/>
              </w:rPr>
              <w:t xml:space="preserve"> </w:t>
            </w:r>
            <w:r w:rsidR="00D72761" w:rsidRPr="00C77207">
              <w:rPr>
                <w:rFonts w:cstheme="minorHAnsi"/>
                <w:color w:val="000000" w:themeColor="text1"/>
                <w:lang w:val="de-DE"/>
              </w:rPr>
              <w:t>1 StGB als Personen zwischen 14 und 17 Jahren definiert. Die Tatbestände des Menschenhandels gem. §</w:t>
            </w:r>
            <w:r w:rsidR="008D603F" w:rsidRPr="00C77207">
              <w:rPr>
                <w:rFonts w:cstheme="minorHAnsi"/>
                <w:color w:val="000000" w:themeColor="text1"/>
                <w:lang w:val="de-DE"/>
              </w:rPr>
              <w:t xml:space="preserve"> </w:t>
            </w:r>
            <w:r w:rsidR="00D72761" w:rsidRPr="00C77207">
              <w:rPr>
                <w:rFonts w:cstheme="minorHAnsi"/>
                <w:color w:val="000000" w:themeColor="text1"/>
                <w:lang w:val="de-DE"/>
              </w:rPr>
              <w:t xml:space="preserve">232 </w:t>
            </w:r>
            <w:r w:rsidR="008D603F" w:rsidRPr="00C77207">
              <w:rPr>
                <w:rFonts w:cstheme="minorHAnsi"/>
                <w:color w:val="000000" w:themeColor="text1"/>
                <w:lang w:val="de-DE"/>
              </w:rPr>
              <w:t>Abs. 1 S. 1</w:t>
            </w:r>
            <w:r w:rsidR="00D72761" w:rsidRPr="00C77207">
              <w:rPr>
                <w:rFonts w:cstheme="minorHAnsi"/>
                <w:color w:val="000000" w:themeColor="text1"/>
                <w:lang w:val="de-DE"/>
              </w:rPr>
              <w:t xml:space="preserve"> Var.</w:t>
            </w:r>
            <w:r w:rsidR="008D603F" w:rsidRPr="00C77207">
              <w:rPr>
                <w:rFonts w:cstheme="minorHAnsi"/>
                <w:color w:val="000000" w:themeColor="text1"/>
                <w:lang w:val="de-DE"/>
              </w:rPr>
              <w:t xml:space="preserve"> </w:t>
            </w:r>
            <w:r w:rsidR="00D72761" w:rsidRPr="00C77207">
              <w:rPr>
                <w:rFonts w:cstheme="minorHAnsi"/>
                <w:color w:val="000000" w:themeColor="text1"/>
                <w:lang w:val="de-DE"/>
              </w:rPr>
              <w:t>3 StGB sowie der Zwangsprostitution gem. §</w:t>
            </w:r>
            <w:r w:rsidR="008D603F" w:rsidRPr="00C77207">
              <w:rPr>
                <w:rFonts w:cstheme="minorHAnsi"/>
                <w:color w:val="000000" w:themeColor="text1"/>
                <w:lang w:val="de-DE"/>
              </w:rPr>
              <w:t xml:space="preserve"> </w:t>
            </w:r>
            <w:r w:rsidR="00D72761" w:rsidRPr="00C77207">
              <w:rPr>
                <w:rFonts w:cstheme="minorHAnsi"/>
                <w:color w:val="000000" w:themeColor="text1"/>
                <w:lang w:val="de-DE"/>
              </w:rPr>
              <w:t xml:space="preserve">232a </w:t>
            </w:r>
            <w:r w:rsidR="008D603F" w:rsidRPr="00C77207">
              <w:rPr>
                <w:rFonts w:cstheme="minorHAnsi"/>
                <w:color w:val="000000" w:themeColor="text1"/>
                <w:lang w:val="de-DE"/>
              </w:rPr>
              <w:t>Abs. 1 Var. 3</w:t>
            </w:r>
            <w:r w:rsidR="00D72761" w:rsidRPr="00C77207">
              <w:rPr>
                <w:rFonts w:cstheme="minorHAnsi"/>
                <w:color w:val="000000" w:themeColor="text1"/>
                <w:lang w:val="de-DE"/>
              </w:rPr>
              <w:t xml:space="preserve"> StGB setzen die Altersgrenze bei 21 Jahren. </w:t>
            </w:r>
          </w:p>
        </w:tc>
      </w:tr>
      <w:tr w:rsidR="001C2BA0" w:rsidRPr="00F206A4" w14:paraId="62D5BF2F" w14:textId="77777777" w:rsidTr="00A57D8B">
        <w:trPr>
          <w:trHeight w:val="1040"/>
        </w:trPr>
        <w:tc>
          <w:tcPr>
            <w:tcW w:w="425" w:type="dxa"/>
          </w:tcPr>
          <w:p w14:paraId="0AAA0239" w14:textId="77777777" w:rsidR="001C2BA0" w:rsidRPr="00C5673B" w:rsidRDefault="001C2BA0" w:rsidP="001C2BA0">
            <w:pPr>
              <w:numPr>
                <w:ilvl w:val="0"/>
                <w:numId w:val="2"/>
              </w:numPr>
              <w:contextualSpacing/>
              <w:rPr>
                <w:rFonts w:ascii="Calibri" w:hAnsi="Calibri" w:cs="Calibri"/>
                <w:szCs w:val="28"/>
                <w:lang w:val="de-DE"/>
              </w:rPr>
            </w:pPr>
          </w:p>
        </w:tc>
        <w:tc>
          <w:tcPr>
            <w:tcW w:w="5387" w:type="dxa"/>
          </w:tcPr>
          <w:p w14:paraId="36EB8BDA" w14:textId="7B2CB786" w:rsidR="005E1DC0" w:rsidRPr="001D5DB6" w:rsidRDefault="00BA1863" w:rsidP="005E1DC0">
            <w:pPr>
              <w:rPr>
                <w:rFonts w:ascii="Calibri" w:hAnsi="Calibri" w:cs="Calibri"/>
                <w:color w:val="000000" w:themeColor="text1"/>
                <w:lang w:val="de-DE"/>
              </w:rPr>
            </w:pPr>
            <w:r>
              <w:rPr>
                <w:rFonts w:eastAsia="Calibri" w:cstheme="minorHAnsi"/>
                <w:color w:val="000000" w:themeColor="text1"/>
                <w:lang w:val="de-DE"/>
              </w:rPr>
              <w:t>Sicherstellung,</w:t>
            </w:r>
            <w:r w:rsidR="001D5DB6" w:rsidRPr="001D5DB6">
              <w:rPr>
                <w:rFonts w:eastAsia="Calibri" w:cstheme="minorHAnsi"/>
                <w:color w:val="000000" w:themeColor="text1"/>
                <w:lang w:val="de-DE"/>
              </w:rPr>
              <w:t xml:space="preserve"> dass das </w:t>
            </w:r>
            <w:r w:rsidR="001D5DB6" w:rsidRPr="005E1DC0">
              <w:rPr>
                <w:rFonts w:eastAsia="Calibri" w:cstheme="minorHAnsi"/>
                <w:b/>
                <w:color w:val="000000" w:themeColor="text1"/>
                <w:lang w:val="de-DE"/>
              </w:rPr>
              <w:t>Alter der sexuellen Mündigkeit</w:t>
            </w:r>
            <w:r w:rsidR="001D5DB6" w:rsidRPr="001D5DB6">
              <w:rPr>
                <w:rFonts w:eastAsia="Calibri" w:cstheme="minorHAnsi"/>
                <w:color w:val="000000" w:themeColor="text1"/>
                <w:lang w:val="de-DE"/>
              </w:rPr>
              <w:t xml:space="preserve"> sowohl für Männer als auch für Frauen bei 18 Jahren liegt und eine Ausnahmeregelung für einvernehmliche sexuelle Beziehungen zwischen Jugendlichen vorgesehen wird (bis zu 3 Jahre</w:t>
            </w:r>
            <w:r w:rsidR="00EF35AD">
              <w:rPr>
                <w:rFonts w:eastAsia="Calibri" w:cstheme="minorHAnsi"/>
                <w:color w:val="000000" w:themeColor="text1"/>
                <w:lang w:val="de-DE"/>
              </w:rPr>
              <w:t>n Altersunterschied</w:t>
            </w:r>
            <w:r w:rsidR="001D5DB6" w:rsidRPr="001D5DB6">
              <w:rPr>
                <w:rFonts w:eastAsia="Calibri" w:cstheme="minorHAnsi"/>
                <w:color w:val="000000" w:themeColor="text1"/>
                <w:lang w:val="de-DE"/>
              </w:rPr>
              <w:t>), um freiwillige, gut informierte und gegenseitige sexuelle Kontakte zwischen Gleichaltrigen zu ermöglichen und die Kriminalisierung junger Menschen in freiwilligen sexuellen Beziehungen zu verhindern.</w:t>
            </w:r>
          </w:p>
          <w:p w14:paraId="3723FD34" w14:textId="757F4EEB" w:rsidR="001C2BA0" w:rsidRPr="001D5DB6" w:rsidRDefault="001C2BA0" w:rsidP="001D5DB6">
            <w:pPr>
              <w:rPr>
                <w:rFonts w:ascii="Calibri" w:hAnsi="Calibri" w:cs="Calibri"/>
                <w:color w:val="000000" w:themeColor="text1"/>
                <w:lang w:val="de-DE"/>
              </w:rPr>
            </w:pPr>
          </w:p>
        </w:tc>
        <w:tc>
          <w:tcPr>
            <w:tcW w:w="1701" w:type="dxa"/>
          </w:tcPr>
          <w:p w14:paraId="24D5AD65" w14:textId="62D7FEFD" w:rsidR="001C2BA0" w:rsidRPr="00B40C18" w:rsidRDefault="00D72761" w:rsidP="001C2BA0">
            <w:pPr>
              <w:rPr>
                <w:rFonts w:ascii="Calibri" w:hAnsi="Calibri" w:cs="Calibri"/>
                <w:bCs/>
                <w:color w:val="000000" w:themeColor="text1"/>
                <w:lang w:val="de-DE"/>
              </w:rPr>
            </w:pPr>
            <w:r w:rsidRPr="00B40C18">
              <w:rPr>
                <w:rFonts w:ascii="Calibri" w:hAnsi="Calibri" w:cs="Calibri"/>
                <w:bCs/>
                <w:color w:val="000000" w:themeColor="text1"/>
                <w:lang w:val="de-DE"/>
              </w:rPr>
              <w:t>N</w:t>
            </w:r>
            <w:r w:rsidR="00C55A34">
              <w:rPr>
                <w:rFonts w:ascii="Calibri" w:hAnsi="Calibri" w:cs="Calibri"/>
                <w:bCs/>
                <w:color w:val="000000" w:themeColor="text1"/>
                <w:lang w:val="de-DE"/>
              </w:rPr>
              <w:t>ein</w:t>
            </w:r>
          </w:p>
          <w:p w14:paraId="7AB58C14" w14:textId="3AD81E03" w:rsidR="00CB6521" w:rsidRPr="00CB6521" w:rsidRDefault="00CB6521" w:rsidP="001C2BA0">
            <w:pPr>
              <w:rPr>
                <w:rFonts w:ascii="Calibri" w:hAnsi="Calibri" w:cs="Calibri"/>
                <w:bCs/>
                <w:color w:val="000000" w:themeColor="text1"/>
                <w:lang w:val="de-DE"/>
              </w:rPr>
            </w:pPr>
          </w:p>
        </w:tc>
        <w:tc>
          <w:tcPr>
            <w:tcW w:w="5523" w:type="dxa"/>
          </w:tcPr>
          <w:p w14:paraId="30EF3C65" w14:textId="3B37121A" w:rsidR="001C2BA0" w:rsidRPr="00C77207" w:rsidRDefault="00D72761" w:rsidP="008543B6">
            <w:pPr>
              <w:rPr>
                <w:rFonts w:cstheme="minorHAnsi"/>
                <w:color w:val="000000" w:themeColor="text1"/>
                <w:lang w:val="de-DE"/>
              </w:rPr>
            </w:pPr>
            <w:r w:rsidRPr="00C77207">
              <w:rPr>
                <w:rFonts w:cstheme="minorHAnsi"/>
                <w:color w:val="000000" w:themeColor="text1"/>
                <w:lang w:val="de-DE"/>
              </w:rPr>
              <w:t>Das Schutzalter liegt gem. §</w:t>
            </w:r>
            <w:r w:rsidR="008D603F" w:rsidRPr="00C77207">
              <w:rPr>
                <w:rFonts w:cstheme="minorHAnsi"/>
                <w:color w:val="000000" w:themeColor="text1"/>
                <w:lang w:val="de-DE"/>
              </w:rPr>
              <w:t xml:space="preserve"> </w:t>
            </w:r>
            <w:r w:rsidRPr="00C77207">
              <w:rPr>
                <w:rFonts w:cstheme="minorHAnsi"/>
                <w:color w:val="000000" w:themeColor="text1"/>
                <w:lang w:val="de-DE"/>
              </w:rPr>
              <w:t xml:space="preserve">176 </w:t>
            </w:r>
            <w:r w:rsidR="008D603F" w:rsidRPr="00C77207">
              <w:rPr>
                <w:rFonts w:cstheme="minorHAnsi"/>
                <w:color w:val="000000" w:themeColor="text1"/>
                <w:lang w:val="de-DE"/>
              </w:rPr>
              <w:t>Abs. 1</w:t>
            </w:r>
            <w:r w:rsidRPr="00C77207">
              <w:rPr>
                <w:rFonts w:cstheme="minorHAnsi"/>
                <w:color w:val="000000" w:themeColor="text1"/>
                <w:lang w:val="de-DE"/>
              </w:rPr>
              <w:t xml:space="preserve"> Nr.</w:t>
            </w:r>
            <w:r w:rsidR="008D603F" w:rsidRPr="00C77207">
              <w:rPr>
                <w:rFonts w:cstheme="minorHAnsi"/>
                <w:color w:val="000000" w:themeColor="text1"/>
                <w:lang w:val="de-DE"/>
              </w:rPr>
              <w:t xml:space="preserve"> </w:t>
            </w:r>
            <w:r w:rsidRPr="00C77207">
              <w:rPr>
                <w:rFonts w:cstheme="minorHAnsi"/>
                <w:color w:val="000000" w:themeColor="text1"/>
                <w:lang w:val="de-DE"/>
              </w:rPr>
              <w:t>1 StGB grundsätzlich bei 14 Jahren und damit unter 18 Jahren. Nach §</w:t>
            </w:r>
            <w:r w:rsidR="008D603F" w:rsidRPr="00C77207">
              <w:rPr>
                <w:rFonts w:cstheme="minorHAnsi"/>
                <w:color w:val="000000" w:themeColor="text1"/>
                <w:lang w:val="de-DE"/>
              </w:rPr>
              <w:t xml:space="preserve"> </w:t>
            </w:r>
            <w:r w:rsidRPr="00C77207">
              <w:rPr>
                <w:rFonts w:cstheme="minorHAnsi"/>
                <w:color w:val="000000" w:themeColor="text1"/>
                <w:lang w:val="de-DE"/>
              </w:rPr>
              <w:t xml:space="preserve">176 </w:t>
            </w:r>
            <w:r w:rsidR="008D603F" w:rsidRPr="00C77207">
              <w:rPr>
                <w:rFonts w:cstheme="minorHAnsi"/>
                <w:color w:val="000000" w:themeColor="text1"/>
                <w:lang w:val="de-DE"/>
              </w:rPr>
              <w:t>Abs. 2</w:t>
            </w:r>
            <w:r w:rsidRPr="00C77207">
              <w:rPr>
                <w:rFonts w:cstheme="minorHAnsi"/>
                <w:color w:val="000000" w:themeColor="text1"/>
                <w:lang w:val="de-DE"/>
              </w:rPr>
              <w:t xml:space="preserve"> StGB kann das Gericht auch bei einem Kind unter 14 Jahren von einer Strafe nach §</w:t>
            </w:r>
            <w:r w:rsidR="008D603F" w:rsidRPr="00C77207">
              <w:rPr>
                <w:rFonts w:cstheme="minorHAnsi"/>
                <w:color w:val="000000" w:themeColor="text1"/>
                <w:lang w:val="de-DE"/>
              </w:rPr>
              <w:t xml:space="preserve"> </w:t>
            </w:r>
            <w:r w:rsidRPr="00C77207">
              <w:rPr>
                <w:rFonts w:cstheme="minorHAnsi"/>
                <w:color w:val="000000" w:themeColor="text1"/>
                <w:lang w:val="de-DE"/>
              </w:rPr>
              <w:t xml:space="preserve">176 </w:t>
            </w:r>
            <w:r w:rsidR="008D603F" w:rsidRPr="00C77207">
              <w:rPr>
                <w:rFonts w:cstheme="minorHAnsi"/>
                <w:color w:val="000000" w:themeColor="text1"/>
                <w:lang w:val="de-DE"/>
              </w:rPr>
              <w:t>Abs. 1</w:t>
            </w:r>
            <w:r w:rsidRPr="00C77207">
              <w:rPr>
                <w:rFonts w:cstheme="minorHAnsi"/>
                <w:color w:val="000000" w:themeColor="text1"/>
                <w:lang w:val="de-DE"/>
              </w:rPr>
              <w:t xml:space="preserve"> Nr.</w:t>
            </w:r>
            <w:r w:rsidR="008D603F" w:rsidRPr="00C77207">
              <w:rPr>
                <w:rFonts w:cstheme="minorHAnsi"/>
                <w:color w:val="000000" w:themeColor="text1"/>
                <w:lang w:val="de-DE"/>
              </w:rPr>
              <w:t xml:space="preserve"> </w:t>
            </w:r>
            <w:r w:rsidRPr="00C77207">
              <w:rPr>
                <w:rFonts w:cstheme="minorHAnsi"/>
                <w:color w:val="000000" w:themeColor="text1"/>
                <w:lang w:val="de-DE"/>
              </w:rPr>
              <w:t xml:space="preserve">1 StGB </w:t>
            </w:r>
            <w:r w:rsidR="00094041" w:rsidRPr="00C77207">
              <w:rPr>
                <w:rFonts w:cstheme="minorHAnsi"/>
                <w:color w:val="000000" w:themeColor="text1"/>
                <w:lang w:val="de-DE"/>
              </w:rPr>
              <w:t xml:space="preserve">absehen, wenn zwischen Täter und Kind die sexuelle Handlung einvernehmlich erfolgt und der Unterschied sowohl im Alter als auch im Entwicklungsstand oder Reifegrad gering ist, es sei denn, der Täter nutzt die fehlende Fähigkeit des Kindes zur sexuellen Selbstbestimmung aus. </w:t>
            </w:r>
          </w:p>
          <w:p w14:paraId="66A5AB51" w14:textId="77777777" w:rsidR="00094041" w:rsidRPr="00C77207" w:rsidRDefault="00094041" w:rsidP="008543B6">
            <w:pPr>
              <w:rPr>
                <w:rFonts w:cstheme="minorHAnsi"/>
                <w:color w:val="000000" w:themeColor="text1"/>
                <w:lang w:val="de-DE"/>
              </w:rPr>
            </w:pPr>
          </w:p>
          <w:p w14:paraId="5AC7A4FE" w14:textId="79CD77AF" w:rsidR="00094041" w:rsidRPr="00C77207" w:rsidRDefault="00094041" w:rsidP="008543B6">
            <w:pPr>
              <w:rPr>
                <w:rFonts w:cstheme="minorHAnsi"/>
                <w:color w:val="000000" w:themeColor="text1"/>
                <w:lang w:val="de-DE"/>
              </w:rPr>
            </w:pPr>
            <w:r w:rsidRPr="00C77207">
              <w:rPr>
                <w:rFonts w:cstheme="minorHAnsi"/>
                <w:color w:val="000000" w:themeColor="text1"/>
                <w:lang w:val="de-DE"/>
              </w:rPr>
              <w:t>Die Vornahme sexueller Handlungen an einer Person zwischen 14 und 17 Jahren ist gem. §</w:t>
            </w:r>
            <w:r w:rsidR="008D603F" w:rsidRPr="00C77207">
              <w:rPr>
                <w:rFonts w:cstheme="minorHAnsi"/>
                <w:color w:val="000000" w:themeColor="text1"/>
                <w:lang w:val="de-DE"/>
              </w:rPr>
              <w:t xml:space="preserve"> </w:t>
            </w:r>
            <w:r w:rsidRPr="00C77207">
              <w:rPr>
                <w:rFonts w:cstheme="minorHAnsi"/>
                <w:color w:val="000000" w:themeColor="text1"/>
                <w:lang w:val="de-DE"/>
              </w:rPr>
              <w:t xml:space="preserve">182 </w:t>
            </w:r>
            <w:r w:rsidR="008D603F" w:rsidRPr="00C77207">
              <w:rPr>
                <w:rFonts w:cstheme="minorHAnsi"/>
                <w:color w:val="000000" w:themeColor="text1"/>
                <w:lang w:val="de-DE"/>
              </w:rPr>
              <w:t>Abs. 1</w:t>
            </w:r>
            <w:r w:rsidRPr="00C77207">
              <w:rPr>
                <w:rFonts w:cstheme="minorHAnsi"/>
                <w:color w:val="000000" w:themeColor="text1"/>
                <w:lang w:val="de-DE"/>
              </w:rPr>
              <w:t xml:space="preserve"> StGB nur dann strafbar, wenn dies unter Ausnutzung einer Zwangslage geschieht, was dann nicht der Fall ist, wenn die Sexualkontakte innerhalb einer Liebesbeziehung erfolgen.</w:t>
            </w:r>
            <w:r w:rsidRPr="00C77207">
              <w:rPr>
                <w:rStyle w:val="FootnoteReference"/>
                <w:rFonts w:cstheme="minorHAnsi"/>
                <w:color w:val="000000" w:themeColor="text1"/>
                <w:lang w:val="de-DE"/>
              </w:rPr>
              <w:footnoteReference w:id="13"/>
            </w:r>
            <w:r w:rsidRPr="00C77207">
              <w:rPr>
                <w:rFonts w:cstheme="minorHAnsi"/>
                <w:color w:val="000000" w:themeColor="text1"/>
                <w:lang w:val="de-DE"/>
              </w:rPr>
              <w:t xml:space="preserve"> Eine Zwangslage liegt vielmehr erst bei solchen bedrängenden Umständen vor, die das Maß </w:t>
            </w:r>
            <w:r w:rsidR="007A633F" w:rsidRPr="00C77207">
              <w:rPr>
                <w:rFonts w:cstheme="minorHAnsi"/>
                <w:color w:val="000000" w:themeColor="text1"/>
                <w:lang w:val="de-DE"/>
              </w:rPr>
              <w:t>d</w:t>
            </w:r>
            <w:r w:rsidRPr="00C77207">
              <w:rPr>
                <w:rFonts w:cstheme="minorHAnsi"/>
                <w:color w:val="000000" w:themeColor="text1"/>
                <w:lang w:val="de-DE"/>
              </w:rPr>
              <w:t>es für Jugendliche Üblichen deutlich übersteigen und daher so gewichtig sind, dass sie mit einer wesentlichen Einschränkung der Entscheidungs- und Handlungsmöglichkeiten einhergehen. Nach den Umständen muss somit eine Gefahr bestehen, dass der Widerstand des Opfers gegen sexuelle Übergriffe herabgesetzt ist, woran die Rechtsprechung strenge Anforderungen stellt.</w:t>
            </w:r>
            <w:r w:rsidR="00A5329B" w:rsidRPr="00C77207">
              <w:rPr>
                <w:rStyle w:val="FootnoteReference"/>
                <w:rFonts w:cstheme="minorHAnsi"/>
                <w:color w:val="000000" w:themeColor="text1"/>
                <w:lang w:val="de-DE"/>
              </w:rPr>
              <w:footnoteReference w:id="14"/>
            </w:r>
          </w:p>
          <w:p w14:paraId="1478B52E" w14:textId="77777777" w:rsidR="00A5329B" w:rsidRPr="00C77207" w:rsidRDefault="00A5329B" w:rsidP="008543B6">
            <w:pPr>
              <w:rPr>
                <w:rFonts w:cstheme="minorHAnsi"/>
                <w:color w:val="000000" w:themeColor="text1"/>
                <w:lang w:val="de-DE"/>
              </w:rPr>
            </w:pPr>
          </w:p>
          <w:p w14:paraId="58D56545" w14:textId="267AB22D" w:rsidR="00A5329B" w:rsidRPr="00C77207" w:rsidRDefault="00A5329B" w:rsidP="008543B6">
            <w:pPr>
              <w:rPr>
                <w:rFonts w:cstheme="minorHAnsi"/>
                <w:color w:val="000000" w:themeColor="text1"/>
                <w:lang w:val="de-DE"/>
              </w:rPr>
            </w:pPr>
            <w:r w:rsidRPr="00C77207">
              <w:rPr>
                <w:rFonts w:cstheme="minorHAnsi"/>
                <w:color w:val="000000" w:themeColor="text1"/>
                <w:lang w:val="de-DE"/>
              </w:rPr>
              <w:t>Das Ausnutzen einer Zwangslage ist gem. §</w:t>
            </w:r>
            <w:r w:rsidR="008D603F" w:rsidRPr="00C77207">
              <w:rPr>
                <w:rFonts w:cstheme="minorHAnsi"/>
                <w:color w:val="000000" w:themeColor="text1"/>
                <w:lang w:val="de-DE"/>
              </w:rPr>
              <w:t xml:space="preserve"> </w:t>
            </w:r>
            <w:r w:rsidRPr="00C77207">
              <w:rPr>
                <w:rFonts w:cstheme="minorHAnsi"/>
                <w:color w:val="000000" w:themeColor="text1"/>
                <w:lang w:val="de-DE"/>
              </w:rPr>
              <w:t xml:space="preserve">182 </w:t>
            </w:r>
            <w:r w:rsidR="008D603F" w:rsidRPr="00C77207">
              <w:rPr>
                <w:rFonts w:cstheme="minorHAnsi"/>
                <w:color w:val="000000" w:themeColor="text1"/>
                <w:lang w:val="de-DE"/>
              </w:rPr>
              <w:t>Abs. 2</w:t>
            </w:r>
            <w:r w:rsidRPr="00C77207">
              <w:rPr>
                <w:rFonts w:cstheme="minorHAnsi"/>
                <w:color w:val="000000" w:themeColor="text1"/>
                <w:lang w:val="de-DE"/>
              </w:rPr>
              <w:t xml:space="preserve"> StGB nicht erforderlich, wenn der sexuelle Kontakt mit der Person unter 18 Jahren entgeltlich erfolgt.</w:t>
            </w:r>
          </w:p>
          <w:p w14:paraId="08D0DEDB" w14:textId="77777777" w:rsidR="00A5329B" w:rsidRPr="00C77207" w:rsidRDefault="00A5329B" w:rsidP="008543B6">
            <w:pPr>
              <w:rPr>
                <w:rFonts w:cstheme="minorHAnsi"/>
                <w:color w:val="000000" w:themeColor="text1"/>
                <w:lang w:val="de-DE"/>
              </w:rPr>
            </w:pPr>
          </w:p>
          <w:p w14:paraId="65A0BF3F" w14:textId="5B1633BB" w:rsidR="00A5329B" w:rsidRPr="00C77207" w:rsidRDefault="00A5329B" w:rsidP="008543B6">
            <w:pPr>
              <w:rPr>
                <w:rFonts w:cstheme="minorHAnsi"/>
                <w:color w:val="000000" w:themeColor="text1"/>
                <w:lang w:val="de-DE"/>
              </w:rPr>
            </w:pPr>
            <w:r w:rsidRPr="00C77207">
              <w:rPr>
                <w:rFonts w:cstheme="minorHAnsi"/>
                <w:color w:val="000000" w:themeColor="text1"/>
                <w:lang w:val="de-DE"/>
              </w:rPr>
              <w:lastRenderedPageBreak/>
              <w:t xml:space="preserve">Auch bei </w:t>
            </w:r>
            <w:r w:rsidR="00AA390A" w:rsidRPr="00C77207">
              <w:rPr>
                <w:rFonts w:cstheme="minorHAnsi"/>
                <w:color w:val="000000" w:themeColor="text1"/>
                <w:lang w:val="de-DE"/>
              </w:rPr>
              <w:t>U</w:t>
            </w:r>
            <w:r w:rsidRPr="00C77207">
              <w:rPr>
                <w:rFonts w:cstheme="minorHAnsi"/>
                <w:color w:val="000000" w:themeColor="text1"/>
                <w:lang w:val="de-DE"/>
              </w:rPr>
              <w:t>nentgeltlich</w:t>
            </w:r>
            <w:r w:rsidR="00AA390A" w:rsidRPr="00C77207">
              <w:rPr>
                <w:rFonts w:cstheme="minorHAnsi"/>
                <w:color w:val="000000" w:themeColor="text1"/>
                <w:lang w:val="de-DE"/>
              </w:rPr>
              <w:t>keit kann</w:t>
            </w:r>
            <w:r w:rsidRPr="00C77207">
              <w:rPr>
                <w:rFonts w:cstheme="minorHAnsi"/>
                <w:color w:val="000000" w:themeColor="text1"/>
                <w:lang w:val="de-DE"/>
              </w:rPr>
              <w:t xml:space="preserve"> </w:t>
            </w:r>
            <w:r w:rsidR="00AA390A" w:rsidRPr="00C77207">
              <w:rPr>
                <w:rFonts w:cstheme="minorHAnsi"/>
                <w:color w:val="000000" w:themeColor="text1"/>
                <w:lang w:val="de-DE"/>
              </w:rPr>
              <w:t>der sexuelle Kontakt mit einer Person unter 16 Jahren gem. §</w:t>
            </w:r>
            <w:r w:rsidR="008D603F" w:rsidRPr="00C77207">
              <w:rPr>
                <w:rFonts w:cstheme="minorHAnsi"/>
                <w:color w:val="000000" w:themeColor="text1"/>
                <w:lang w:val="de-DE"/>
              </w:rPr>
              <w:t xml:space="preserve"> </w:t>
            </w:r>
            <w:r w:rsidR="00AA390A" w:rsidRPr="00C77207">
              <w:rPr>
                <w:rFonts w:cstheme="minorHAnsi"/>
                <w:color w:val="000000" w:themeColor="text1"/>
                <w:lang w:val="de-DE"/>
              </w:rPr>
              <w:t xml:space="preserve">182 </w:t>
            </w:r>
            <w:r w:rsidR="008D603F" w:rsidRPr="00C77207">
              <w:rPr>
                <w:rFonts w:cstheme="minorHAnsi"/>
                <w:color w:val="000000" w:themeColor="text1"/>
                <w:lang w:val="de-DE"/>
              </w:rPr>
              <w:t>Abs. 3</w:t>
            </w:r>
            <w:r w:rsidR="00AA390A" w:rsidRPr="00C77207">
              <w:rPr>
                <w:rFonts w:cstheme="minorHAnsi"/>
                <w:color w:val="000000" w:themeColor="text1"/>
                <w:lang w:val="de-DE"/>
              </w:rPr>
              <w:t xml:space="preserve"> StGB strafbar sein, wenn der Täter über 21 Jahre alt ist und die fehlende Fähigkeit des Opfers zur sexuellen Selbstbestimmung ausnutzt. Die fehlende Fähigkeit wird im Einzelfall durch eine „kontextsensible Analyse der sozialen Interaktion“ ermittelt, wobei die Beziehung zwischen Täter und Opfer, insbesondere die soziale Rolle des Täters, ein Machtungleichgewicht sowie konkrete Umstände der Interaktion zu berücksichtigen sind.</w:t>
            </w:r>
            <w:r w:rsidR="00AA390A" w:rsidRPr="00C77207">
              <w:rPr>
                <w:rStyle w:val="FootnoteReference"/>
                <w:rFonts w:cstheme="minorHAnsi"/>
                <w:color w:val="000000" w:themeColor="text1"/>
                <w:lang w:val="de-DE"/>
              </w:rPr>
              <w:footnoteReference w:id="15"/>
            </w:r>
          </w:p>
        </w:tc>
      </w:tr>
      <w:tr w:rsidR="001C2BA0" w:rsidRPr="00F206A4" w14:paraId="7C414766" w14:textId="77777777" w:rsidTr="00A57D8B">
        <w:trPr>
          <w:trHeight w:val="920"/>
        </w:trPr>
        <w:tc>
          <w:tcPr>
            <w:tcW w:w="425" w:type="dxa"/>
          </w:tcPr>
          <w:p w14:paraId="3D144C1C" w14:textId="77777777" w:rsidR="001C2BA0" w:rsidRPr="00D72761" w:rsidRDefault="001C2BA0" w:rsidP="001C2BA0">
            <w:pPr>
              <w:numPr>
                <w:ilvl w:val="0"/>
                <w:numId w:val="2"/>
              </w:numPr>
              <w:contextualSpacing/>
              <w:rPr>
                <w:rFonts w:ascii="Calibri" w:hAnsi="Calibri" w:cs="Calibri"/>
                <w:szCs w:val="28"/>
                <w:lang w:val="de-DE"/>
              </w:rPr>
            </w:pPr>
          </w:p>
        </w:tc>
        <w:tc>
          <w:tcPr>
            <w:tcW w:w="5387" w:type="dxa"/>
          </w:tcPr>
          <w:p w14:paraId="4EB8A670" w14:textId="57979199" w:rsidR="001C2BA0" w:rsidRPr="005E1DC0" w:rsidRDefault="0076137D" w:rsidP="000F3F4C">
            <w:pPr>
              <w:rPr>
                <w:rFonts w:ascii="Calibri" w:hAnsi="Calibri" w:cs="Calibri"/>
                <w:color w:val="000000" w:themeColor="text1"/>
                <w:lang w:val="de-DE"/>
              </w:rPr>
            </w:pPr>
            <w:r>
              <w:rPr>
                <w:rFonts w:eastAsia="Calibri" w:cstheme="minorHAnsi"/>
                <w:color w:val="000000" w:themeColor="text1"/>
                <w:lang w:val="de-DE"/>
              </w:rPr>
              <w:t>Umsetzung eines</w:t>
            </w:r>
            <w:r w:rsidR="005E1DC0" w:rsidRPr="005E1DC0">
              <w:rPr>
                <w:rFonts w:eastAsia="Calibri" w:cstheme="minorHAnsi"/>
                <w:color w:val="000000" w:themeColor="text1"/>
                <w:lang w:val="de-DE"/>
              </w:rPr>
              <w:t xml:space="preserve"> Gesetz</w:t>
            </w:r>
            <w:r>
              <w:rPr>
                <w:rFonts w:eastAsia="Calibri" w:cstheme="minorHAnsi"/>
                <w:color w:val="000000" w:themeColor="text1"/>
                <w:lang w:val="de-DE"/>
              </w:rPr>
              <w:t>es</w:t>
            </w:r>
            <w:r w:rsidR="005E1DC0" w:rsidRPr="005E1DC0">
              <w:rPr>
                <w:rFonts w:eastAsia="Calibri" w:cstheme="minorHAnsi"/>
                <w:color w:val="000000" w:themeColor="text1"/>
                <w:lang w:val="de-DE"/>
              </w:rPr>
              <w:t xml:space="preserve"> oder eine</w:t>
            </w:r>
            <w:r>
              <w:rPr>
                <w:rFonts w:eastAsia="Calibri" w:cstheme="minorHAnsi"/>
                <w:color w:val="000000" w:themeColor="text1"/>
                <w:lang w:val="de-DE"/>
              </w:rPr>
              <w:t>r</w:t>
            </w:r>
            <w:r w:rsidR="005E1DC0" w:rsidRPr="005E1DC0">
              <w:rPr>
                <w:rFonts w:eastAsia="Calibri" w:cstheme="minorHAnsi"/>
                <w:color w:val="000000" w:themeColor="text1"/>
                <w:lang w:val="de-DE"/>
              </w:rPr>
              <w:t xml:space="preserve"> V</w:t>
            </w:r>
            <w:r w:rsidR="008B688B">
              <w:rPr>
                <w:rFonts w:eastAsia="Calibri" w:cstheme="minorHAnsi"/>
                <w:color w:val="000000" w:themeColor="text1"/>
                <w:lang w:val="de-DE"/>
              </w:rPr>
              <w:t>orschrift</w:t>
            </w:r>
            <w:r w:rsidR="005E1DC0" w:rsidRPr="005E1DC0">
              <w:rPr>
                <w:rFonts w:eastAsia="Calibri" w:cstheme="minorHAnsi"/>
                <w:color w:val="000000" w:themeColor="text1"/>
                <w:lang w:val="de-DE"/>
              </w:rPr>
              <w:t xml:space="preserve"> zur Einrichtung eines </w:t>
            </w:r>
            <w:r w:rsidR="005E1DC0" w:rsidRPr="005E1DC0">
              <w:rPr>
                <w:rFonts w:eastAsia="Calibri" w:cstheme="minorHAnsi"/>
                <w:b/>
                <w:color w:val="000000" w:themeColor="text1"/>
                <w:lang w:val="de-DE"/>
              </w:rPr>
              <w:t>Mechanismus zur zentralen Registrierung von Sexualstraftätern</w:t>
            </w:r>
            <w:r>
              <w:rPr>
                <w:rFonts w:eastAsia="Calibri" w:cstheme="minorHAnsi"/>
                <w:color w:val="000000" w:themeColor="text1"/>
                <w:lang w:val="de-DE"/>
              </w:rPr>
              <w:t>.</w:t>
            </w:r>
          </w:p>
        </w:tc>
        <w:tc>
          <w:tcPr>
            <w:tcW w:w="1701" w:type="dxa"/>
          </w:tcPr>
          <w:p w14:paraId="1CD5EF7B" w14:textId="7D1AB54D" w:rsidR="001C2BA0" w:rsidRPr="00A57D8B" w:rsidRDefault="00C55A34" w:rsidP="001C2BA0">
            <w:pPr>
              <w:rPr>
                <w:rFonts w:ascii="Calibri" w:hAnsi="Calibri" w:cs="Calibri"/>
                <w:bCs/>
                <w:color w:val="000000" w:themeColor="text1"/>
                <w:lang w:val="en-GB"/>
              </w:rPr>
            </w:pPr>
            <w:proofErr w:type="spellStart"/>
            <w:r>
              <w:rPr>
                <w:rFonts w:ascii="Calibri" w:hAnsi="Calibri" w:cs="Calibri"/>
                <w:bCs/>
                <w:color w:val="000000" w:themeColor="text1"/>
                <w:lang w:val="en-GB"/>
              </w:rPr>
              <w:t>Ja</w:t>
            </w:r>
            <w:proofErr w:type="spellEnd"/>
          </w:p>
        </w:tc>
        <w:tc>
          <w:tcPr>
            <w:tcW w:w="5523" w:type="dxa"/>
          </w:tcPr>
          <w:p w14:paraId="43164D20" w14:textId="15F75B93" w:rsidR="001C2BA0" w:rsidRPr="00C77207" w:rsidRDefault="00AA390A" w:rsidP="008543B6">
            <w:pPr>
              <w:rPr>
                <w:rFonts w:cstheme="minorHAnsi"/>
                <w:color w:val="000000" w:themeColor="text1"/>
                <w:lang w:val="de-DE"/>
              </w:rPr>
            </w:pPr>
            <w:r w:rsidRPr="00C77207">
              <w:rPr>
                <w:rFonts w:cstheme="minorHAnsi"/>
                <w:color w:val="000000" w:themeColor="text1"/>
                <w:lang w:val="de-DE"/>
              </w:rPr>
              <w:t>Nach §</w:t>
            </w:r>
            <w:r w:rsidR="008D603F" w:rsidRPr="00C77207">
              <w:rPr>
                <w:rFonts w:cstheme="minorHAnsi"/>
                <w:color w:val="000000" w:themeColor="text1"/>
                <w:lang w:val="de-DE"/>
              </w:rPr>
              <w:t xml:space="preserve"> </w:t>
            </w:r>
            <w:r w:rsidRPr="00C77207">
              <w:rPr>
                <w:rFonts w:cstheme="minorHAnsi"/>
                <w:color w:val="000000" w:themeColor="text1"/>
                <w:lang w:val="de-DE"/>
              </w:rPr>
              <w:t>3 Nr.</w:t>
            </w:r>
            <w:r w:rsidR="008D603F" w:rsidRPr="00C77207">
              <w:rPr>
                <w:rFonts w:cstheme="minorHAnsi"/>
                <w:color w:val="000000" w:themeColor="text1"/>
                <w:lang w:val="de-DE"/>
              </w:rPr>
              <w:t xml:space="preserve"> </w:t>
            </w:r>
            <w:r w:rsidRPr="00C77207">
              <w:rPr>
                <w:rFonts w:cstheme="minorHAnsi"/>
                <w:color w:val="000000" w:themeColor="text1"/>
                <w:lang w:val="de-DE"/>
              </w:rPr>
              <w:t>1 des Bundeszentralregistergesetzes (BZRG) sind strafgerichtliche Verurteilungen in das Bundeszentralregistergesetz einzutragen. Dazu zählen nach §</w:t>
            </w:r>
            <w:r w:rsidR="008D603F" w:rsidRPr="00C77207">
              <w:rPr>
                <w:rFonts w:cstheme="minorHAnsi"/>
                <w:color w:val="000000" w:themeColor="text1"/>
                <w:lang w:val="de-DE"/>
              </w:rPr>
              <w:t xml:space="preserve"> </w:t>
            </w:r>
            <w:r w:rsidRPr="00C77207">
              <w:rPr>
                <w:rFonts w:cstheme="minorHAnsi"/>
                <w:color w:val="000000" w:themeColor="text1"/>
                <w:lang w:val="de-DE"/>
              </w:rPr>
              <w:t>4 BZRG sowohl Strafen als auch die Anordnung von Maßregeln der Besserung oder Sicherung sowie eine Verwarnung mit einem Strafvorbehalt nach §</w:t>
            </w:r>
            <w:r w:rsidR="008D603F" w:rsidRPr="00C77207">
              <w:rPr>
                <w:rFonts w:cstheme="minorHAnsi"/>
                <w:color w:val="000000" w:themeColor="text1"/>
                <w:lang w:val="de-DE"/>
              </w:rPr>
              <w:t xml:space="preserve"> </w:t>
            </w:r>
            <w:r w:rsidRPr="00C77207">
              <w:rPr>
                <w:rFonts w:cstheme="minorHAnsi"/>
                <w:color w:val="000000" w:themeColor="text1"/>
                <w:lang w:val="de-DE"/>
              </w:rPr>
              <w:t>59 StGB</w:t>
            </w:r>
            <w:r w:rsidR="00756254" w:rsidRPr="00C77207">
              <w:rPr>
                <w:rFonts w:cstheme="minorHAnsi"/>
                <w:color w:val="000000" w:themeColor="text1"/>
                <w:lang w:val="de-DE"/>
              </w:rPr>
              <w:t>. Nach §</w:t>
            </w:r>
            <w:r w:rsidR="008D603F" w:rsidRPr="00C77207">
              <w:rPr>
                <w:rFonts w:cstheme="minorHAnsi"/>
                <w:color w:val="000000" w:themeColor="text1"/>
                <w:lang w:val="de-DE"/>
              </w:rPr>
              <w:t xml:space="preserve"> </w:t>
            </w:r>
            <w:r w:rsidR="00756254" w:rsidRPr="00C77207">
              <w:rPr>
                <w:rFonts w:cstheme="minorHAnsi"/>
                <w:color w:val="000000" w:themeColor="text1"/>
                <w:lang w:val="de-DE"/>
              </w:rPr>
              <w:t xml:space="preserve">5 </w:t>
            </w:r>
            <w:r w:rsidR="008D603F" w:rsidRPr="00C77207">
              <w:rPr>
                <w:rFonts w:cstheme="minorHAnsi"/>
                <w:color w:val="000000" w:themeColor="text1"/>
                <w:lang w:val="de-DE"/>
              </w:rPr>
              <w:t>Abs. 1</w:t>
            </w:r>
            <w:r w:rsidR="00756254" w:rsidRPr="00C77207">
              <w:rPr>
                <w:rFonts w:cstheme="minorHAnsi"/>
                <w:color w:val="000000" w:themeColor="text1"/>
                <w:lang w:val="de-DE"/>
              </w:rPr>
              <w:t xml:space="preserve"> Nr.</w:t>
            </w:r>
            <w:r w:rsidR="008D603F" w:rsidRPr="00C77207">
              <w:rPr>
                <w:rFonts w:cstheme="minorHAnsi"/>
                <w:color w:val="000000" w:themeColor="text1"/>
                <w:lang w:val="de-DE"/>
              </w:rPr>
              <w:t xml:space="preserve"> </w:t>
            </w:r>
            <w:r w:rsidR="00756254" w:rsidRPr="00C77207">
              <w:rPr>
                <w:rFonts w:cstheme="minorHAnsi"/>
                <w:color w:val="000000" w:themeColor="text1"/>
                <w:lang w:val="de-DE"/>
              </w:rPr>
              <w:t>5 und 6 BZRG werden in das Register auch die rechtliche Bezeichnung der Tat unter Angabe der angewendeten Strafvorschriften sowie die verhängten Strafen eingetragen.</w:t>
            </w:r>
          </w:p>
          <w:p w14:paraId="44DD5EC9" w14:textId="77777777" w:rsidR="00756254" w:rsidRPr="00C77207" w:rsidRDefault="00756254" w:rsidP="008543B6">
            <w:pPr>
              <w:rPr>
                <w:rFonts w:cstheme="minorHAnsi"/>
                <w:color w:val="000000" w:themeColor="text1"/>
                <w:lang w:val="de-DE"/>
              </w:rPr>
            </w:pPr>
          </w:p>
          <w:p w14:paraId="5650FE86" w14:textId="49E8C23C" w:rsidR="00756254" w:rsidRPr="00C77207" w:rsidRDefault="00756254" w:rsidP="008543B6">
            <w:pPr>
              <w:rPr>
                <w:rFonts w:cstheme="minorHAnsi"/>
                <w:color w:val="000000" w:themeColor="text1"/>
                <w:lang w:val="de-DE"/>
              </w:rPr>
            </w:pPr>
            <w:r w:rsidRPr="00C77207">
              <w:rPr>
                <w:rFonts w:cstheme="minorHAnsi"/>
                <w:color w:val="000000" w:themeColor="text1"/>
                <w:lang w:val="de-DE"/>
              </w:rPr>
              <w:t>Die Eintragungen werden gem. §</w:t>
            </w:r>
            <w:r w:rsidR="008D603F" w:rsidRPr="00C77207">
              <w:rPr>
                <w:rFonts w:cstheme="minorHAnsi"/>
                <w:color w:val="000000" w:themeColor="text1"/>
                <w:lang w:val="de-DE"/>
              </w:rPr>
              <w:t xml:space="preserve"> </w:t>
            </w:r>
            <w:r w:rsidRPr="00C77207">
              <w:rPr>
                <w:rFonts w:cstheme="minorHAnsi"/>
                <w:color w:val="000000" w:themeColor="text1"/>
                <w:lang w:val="de-DE"/>
              </w:rPr>
              <w:t xml:space="preserve">32 </w:t>
            </w:r>
            <w:r w:rsidR="008D603F" w:rsidRPr="00C77207">
              <w:rPr>
                <w:rFonts w:cstheme="minorHAnsi"/>
                <w:color w:val="000000" w:themeColor="text1"/>
                <w:lang w:val="de-DE"/>
              </w:rPr>
              <w:t>Abs. 1 S. 1</w:t>
            </w:r>
            <w:r w:rsidRPr="00C77207">
              <w:rPr>
                <w:rFonts w:cstheme="minorHAnsi"/>
                <w:color w:val="000000" w:themeColor="text1"/>
                <w:lang w:val="de-DE"/>
              </w:rPr>
              <w:t xml:space="preserve"> BZRG in das Führungszeugnis des Täter</w:t>
            </w:r>
            <w:r w:rsidR="007A633F" w:rsidRPr="00C77207">
              <w:rPr>
                <w:rFonts w:cstheme="minorHAnsi"/>
                <w:color w:val="000000" w:themeColor="text1"/>
                <w:lang w:val="de-DE"/>
              </w:rPr>
              <w:t>s</w:t>
            </w:r>
            <w:r w:rsidRPr="00C77207">
              <w:rPr>
                <w:rFonts w:cstheme="minorHAnsi"/>
                <w:color w:val="000000" w:themeColor="text1"/>
                <w:lang w:val="de-DE"/>
              </w:rPr>
              <w:t xml:space="preserve"> aufgenommen, wobei §§</w:t>
            </w:r>
            <w:r w:rsidR="008D603F" w:rsidRPr="00C77207">
              <w:rPr>
                <w:rFonts w:cstheme="minorHAnsi"/>
                <w:color w:val="000000" w:themeColor="text1"/>
                <w:lang w:val="de-DE"/>
              </w:rPr>
              <w:t xml:space="preserve"> </w:t>
            </w:r>
            <w:r w:rsidRPr="00C77207">
              <w:rPr>
                <w:rFonts w:cstheme="minorHAnsi"/>
                <w:color w:val="000000" w:themeColor="text1"/>
                <w:lang w:val="de-DE"/>
              </w:rPr>
              <w:t xml:space="preserve">32 </w:t>
            </w:r>
            <w:r w:rsidR="008D603F" w:rsidRPr="00C77207">
              <w:rPr>
                <w:rFonts w:cstheme="minorHAnsi"/>
                <w:color w:val="000000" w:themeColor="text1"/>
                <w:lang w:val="de-DE"/>
              </w:rPr>
              <w:t>Abs. 1</w:t>
            </w:r>
            <w:r w:rsidRPr="00C77207">
              <w:rPr>
                <w:rFonts w:cstheme="minorHAnsi"/>
                <w:color w:val="000000" w:themeColor="text1"/>
                <w:lang w:val="de-DE"/>
              </w:rPr>
              <w:t xml:space="preserve"> </w:t>
            </w:r>
            <w:r w:rsidR="008D603F" w:rsidRPr="00C77207">
              <w:rPr>
                <w:rFonts w:cstheme="minorHAnsi"/>
                <w:color w:val="000000" w:themeColor="text1"/>
                <w:lang w:val="de-DE"/>
              </w:rPr>
              <w:t xml:space="preserve">S. </w:t>
            </w:r>
            <w:r w:rsidRPr="00C77207">
              <w:rPr>
                <w:rFonts w:cstheme="minorHAnsi"/>
                <w:color w:val="000000" w:themeColor="text1"/>
                <w:lang w:val="de-DE"/>
              </w:rPr>
              <w:t xml:space="preserve">2, </w:t>
            </w:r>
            <w:r w:rsidR="008D603F" w:rsidRPr="00C77207">
              <w:rPr>
                <w:rFonts w:cstheme="minorHAnsi"/>
                <w:color w:val="000000" w:themeColor="text1"/>
                <w:lang w:val="de-DE"/>
              </w:rPr>
              <w:t>Abs. 5</w:t>
            </w:r>
            <w:r w:rsidRPr="00C77207">
              <w:rPr>
                <w:rFonts w:cstheme="minorHAnsi"/>
                <w:color w:val="000000" w:themeColor="text1"/>
                <w:lang w:val="de-DE"/>
              </w:rPr>
              <w:t xml:space="preserve"> BZRG anordnen, dass hiervon </w:t>
            </w:r>
            <w:r w:rsidR="0012447D" w:rsidRPr="00C77207">
              <w:rPr>
                <w:rFonts w:cstheme="minorHAnsi"/>
                <w:color w:val="000000" w:themeColor="text1"/>
                <w:lang w:val="de-DE"/>
              </w:rPr>
              <w:t xml:space="preserve">u.a. </w:t>
            </w:r>
            <w:r w:rsidRPr="00C77207">
              <w:rPr>
                <w:rFonts w:cstheme="minorHAnsi"/>
                <w:color w:val="000000" w:themeColor="text1"/>
                <w:lang w:val="de-DE"/>
              </w:rPr>
              <w:t>bei Verurteilungen wegen einer Straftat nach §§</w:t>
            </w:r>
            <w:r w:rsidR="008D603F" w:rsidRPr="00C77207">
              <w:rPr>
                <w:rFonts w:cstheme="minorHAnsi"/>
                <w:color w:val="000000" w:themeColor="text1"/>
                <w:lang w:val="de-DE"/>
              </w:rPr>
              <w:t xml:space="preserve"> </w:t>
            </w:r>
            <w:r w:rsidRPr="00C77207">
              <w:rPr>
                <w:rFonts w:cstheme="minorHAnsi"/>
                <w:color w:val="000000" w:themeColor="text1"/>
                <w:lang w:val="de-DE"/>
              </w:rPr>
              <w:t>174</w:t>
            </w:r>
            <w:r w:rsidR="0012447D" w:rsidRPr="00C77207">
              <w:rPr>
                <w:rFonts w:cstheme="minorHAnsi"/>
                <w:color w:val="000000" w:themeColor="text1"/>
                <w:lang w:val="de-DE"/>
              </w:rPr>
              <w:t>-180, 182, 183-184g, 232-233a StGB keine Ausnahme gemacht werden kann. Eine Verurteilung wegen schweren sexuellen Missbrauchs von Kindern gem. §</w:t>
            </w:r>
            <w:r w:rsidR="008D603F" w:rsidRPr="00C77207">
              <w:rPr>
                <w:rFonts w:cstheme="minorHAnsi"/>
                <w:color w:val="000000" w:themeColor="text1"/>
                <w:lang w:val="de-DE"/>
              </w:rPr>
              <w:t xml:space="preserve"> </w:t>
            </w:r>
            <w:r w:rsidR="0012447D" w:rsidRPr="00C77207">
              <w:rPr>
                <w:rFonts w:cstheme="minorHAnsi"/>
                <w:color w:val="000000" w:themeColor="text1"/>
                <w:lang w:val="de-DE"/>
              </w:rPr>
              <w:t>176c StGB sowie sexuellen Missbrauchs von Kindern mit Todesfolge gem. §</w:t>
            </w:r>
            <w:r w:rsidR="008D603F" w:rsidRPr="00C77207">
              <w:rPr>
                <w:rFonts w:cstheme="minorHAnsi"/>
                <w:color w:val="000000" w:themeColor="text1"/>
                <w:lang w:val="de-DE"/>
              </w:rPr>
              <w:t xml:space="preserve"> </w:t>
            </w:r>
            <w:r w:rsidR="0012447D" w:rsidRPr="00C77207">
              <w:rPr>
                <w:rFonts w:cstheme="minorHAnsi"/>
                <w:color w:val="000000" w:themeColor="text1"/>
                <w:lang w:val="de-DE"/>
              </w:rPr>
              <w:t>176d StGB ist nach §</w:t>
            </w:r>
            <w:r w:rsidR="008D603F" w:rsidRPr="00C77207">
              <w:rPr>
                <w:rFonts w:cstheme="minorHAnsi"/>
                <w:color w:val="000000" w:themeColor="text1"/>
                <w:lang w:val="de-DE"/>
              </w:rPr>
              <w:t xml:space="preserve"> </w:t>
            </w:r>
            <w:r w:rsidR="0012447D" w:rsidRPr="00C77207">
              <w:rPr>
                <w:rFonts w:cstheme="minorHAnsi"/>
                <w:color w:val="000000" w:themeColor="text1"/>
                <w:lang w:val="de-DE"/>
              </w:rPr>
              <w:t xml:space="preserve">33 </w:t>
            </w:r>
            <w:r w:rsidR="008D603F" w:rsidRPr="00C77207">
              <w:rPr>
                <w:rFonts w:cstheme="minorHAnsi"/>
                <w:color w:val="000000" w:themeColor="text1"/>
                <w:lang w:val="de-DE"/>
              </w:rPr>
              <w:t>Abs. 2</w:t>
            </w:r>
            <w:r w:rsidR="0012447D" w:rsidRPr="00C77207">
              <w:rPr>
                <w:rFonts w:cstheme="minorHAnsi"/>
                <w:color w:val="000000" w:themeColor="text1"/>
                <w:lang w:val="de-DE"/>
              </w:rPr>
              <w:t xml:space="preserve"> Nr.</w:t>
            </w:r>
            <w:r w:rsidR="008D603F" w:rsidRPr="00C77207">
              <w:rPr>
                <w:rFonts w:cstheme="minorHAnsi"/>
                <w:color w:val="000000" w:themeColor="text1"/>
                <w:lang w:val="de-DE"/>
              </w:rPr>
              <w:t xml:space="preserve"> </w:t>
            </w:r>
            <w:r w:rsidR="0012447D" w:rsidRPr="00C77207">
              <w:rPr>
                <w:rFonts w:cstheme="minorHAnsi"/>
                <w:color w:val="000000" w:themeColor="text1"/>
                <w:lang w:val="de-DE"/>
              </w:rPr>
              <w:t xml:space="preserve">4 BZRG unabhängig vom Ablauf einer Frist </w:t>
            </w:r>
            <w:r w:rsidR="004036FF" w:rsidRPr="00C77207">
              <w:rPr>
                <w:rFonts w:cstheme="minorHAnsi"/>
                <w:color w:val="000000" w:themeColor="text1"/>
                <w:lang w:val="de-DE"/>
              </w:rPr>
              <w:t xml:space="preserve">mit </w:t>
            </w:r>
            <w:r w:rsidR="0012447D" w:rsidRPr="00C77207">
              <w:rPr>
                <w:rFonts w:cstheme="minorHAnsi"/>
                <w:color w:val="000000" w:themeColor="text1"/>
                <w:lang w:val="de-DE"/>
              </w:rPr>
              <w:t xml:space="preserve">in das erweiterte Führungszeugnis aufzunehmen. Die Länge der Frist, nach deren Ablauf eine </w:t>
            </w:r>
            <w:r w:rsidR="0012447D" w:rsidRPr="00C77207">
              <w:rPr>
                <w:rFonts w:cstheme="minorHAnsi"/>
                <w:color w:val="000000" w:themeColor="text1"/>
                <w:lang w:val="de-DE"/>
              </w:rPr>
              <w:lastRenderedPageBreak/>
              <w:t>Verurteilung nicht mehr in das Führungszeugnis aufgenommen wird, ist bei den übrigen relevanten Straftatbeständen der §§</w:t>
            </w:r>
            <w:r w:rsidR="008D603F" w:rsidRPr="00C77207">
              <w:rPr>
                <w:rFonts w:cstheme="minorHAnsi"/>
                <w:color w:val="000000" w:themeColor="text1"/>
                <w:lang w:val="de-DE"/>
              </w:rPr>
              <w:t xml:space="preserve"> </w:t>
            </w:r>
            <w:r w:rsidR="0012447D" w:rsidRPr="00C77207">
              <w:rPr>
                <w:rFonts w:cstheme="minorHAnsi"/>
                <w:color w:val="000000" w:themeColor="text1"/>
                <w:lang w:val="de-DE"/>
              </w:rPr>
              <w:t>176-180a, 182-184g, 232-233a StGB nach §</w:t>
            </w:r>
            <w:r w:rsidR="008D603F" w:rsidRPr="00C77207">
              <w:rPr>
                <w:rFonts w:cstheme="minorHAnsi"/>
                <w:color w:val="000000" w:themeColor="text1"/>
                <w:lang w:val="de-DE"/>
              </w:rPr>
              <w:t xml:space="preserve"> </w:t>
            </w:r>
            <w:r w:rsidR="0012447D" w:rsidRPr="00C77207">
              <w:rPr>
                <w:rFonts w:cstheme="minorHAnsi"/>
                <w:color w:val="000000" w:themeColor="text1"/>
                <w:lang w:val="de-DE"/>
              </w:rPr>
              <w:t xml:space="preserve">34 </w:t>
            </w:r>
            <w:r w:rsidR="008D603F" w:rsidRPr="00C77207">
              <w:rPr>
                <w:rFonts w:cstheme="minorHAnsi"/>
                <w:color w:val="000000" w:themeColor="text1"/>
                <w:lang w:val="de-DE"/>
              </w:rPr>
              <w:t>Abs. 2</w:t>
            </w:r>
            <w:r w:rsidR="00246A3B" w:rsidRPr="00C77207">
              <w:rPr>
                <w:rFonts w:cstheme="minorHAnsi"/>
                <w:color w:val="000000" w:themeColor="text1"/>
                <w:lang w:val="de-DE"/>
              </w:rPr>
              <w:t xml:space="preserve"> BZRG auf 10 bzw. 20 Jahre heraufgesetzt. </w:t>
            </w:r>
          </w:p>
        </w:tc>
      </w:tr>
      <w:tr w:rsidR="001C2BA0" w:rsidRPr="00C6050A" w14:paraId="793A2700" w14:textId="77777777" w:rsidTr="00A57D8B">
        <w:trPr>
          <w:trHeight w:val="920"/>
        </w:trPr>
        <w:tc>
          <w:tcPr>
            <w:tcW w:w="425" w:type="dxa"/>
          </w:tcPr>
          <w:p w14:paraId="6F5D0365" w14:textId="77777777" w:rsidR="001C2BA0" w:rsidRPr="00AA390A" w:rsidRDefault="001C2BA0" w:rsidP="001C2BA0">
            <w:pPr>
              <w:numPr>
                <w:ilvl w:val="0"/>
                <w:numId w:val="2"/>
              </w:numPr>
              <w:contextualSpacing/>
              <w:rPr>
                <w:rFonts w:ascii="Calibri" w:hAnsi="Calibri" w:cs="Calibri"/>
                <w:szCs w:val="28"/>
                <w:lang w:val="de-DE"/>
              </w:rPr>
            </w:pPr>
          </w:p>
        </w:tc>
        <w:tc>
          <w:tcPr>
            <w:tcW w:w="5387" w:type="dxa"/>
          </w:tcPr>
          <w:p w14:paraId="5E5836E5" w14:textId="7E3EC015" w:rsidR="001C2BA0" w:rsidRPr="00E32B82" w:rsidRDefault="00E32B82" w:rsidP="001C2BA0">
            <w:pPr>
              <w:rPr>
                <w:rFonts w:ascii="Calibri" w:hAnsi="Calibri" w:cs="Calibri"/>
                <w:color w:val="000000" w:themeColor="text1"/>
                <w:highlight w:val="cyan"/>
                <w:lang w:val="de-DE"/>
              </w:rPr>
            </w:pPr>
            <w:r w:rsidRPr="00E32B82">
              <w:rPr>
                <w:rFonts w:ascii="Calibri" w:eastAsia="Calibri" w:hAnsi="Calibri" w:cs="Calibri"/>
                <w:color w:val="000000" w:themeColor="text1"/>
                <w:lang w:val="de-DE"/>
              </w:rPr>
              <w:t>Festlegung von</w:t>
            </w:r>
            <w:r w:rsidRPr="00E32B82">
              <w:rPr>
                <w:rFonts w:ascii="Calibri" w:eastAsia="Calibri" w:hAnsi="Calibri" w:cs="Calibri"/>
                <w:b/>
                <w:color w:val="000000" w:themeColor="text1"/>
                <w:lang w:val="de-DE"/>
              </w:rPr>
              <w:t xml:space="preserve"> Kautionsbedingungen</w:t>
            </w:r>
            <w:r w:rsidRPr="00E32B82">
              <w:rPr>
                <w:rFonts w:ascii="Calibri" w:eastAsia="Calibri" w:hAnsi="Calibri" w:cs="Calibri"/>
                <w:color w:val="000000" w:themeColor="text1"/>
                <w:lang w:val="de-DE"/>
              </w:rPr>
              <w:t>, die es Personen</w:t>
            </w:r>
            <w:r w:rsidR="00FF033B">
              <w:rPr>
                <w:rFonts w:ascii="Calibri" w:eastAsia="Calibri" w:hAnsi="Calibri" w:cs="Calibri"/>
                <w:color w:val="000000" w:themeColor="text1"/>
                <w:lang w:val="de-DE"/>
              </w:rPr>
              <w:t xml:space="preserve"> verbieten das Land zu verlassen, wenn diese</w:t>
            </w:r>
            <w:r w:rsidRPr="00E32B82">
              <w:rPr>
                <w:rFonts w:ascii="Calibri" w:eastAsia="Calibri" w:hAnsi="Calibri" w:cs="Calibri"/>
                <w:color w:val="000000" w:themeColor="text1"/>
                <w:lang w:val="de-DE"/>
              </w:rPr>
              <w:t xml:space="preserve"> eines Sexualdelikts an Kindern beschuldigt werden</w:t>
            </w:r>
            <w:r w:rsidR="00FF033B">
              <w:rPr>
                <w:rFonts w:ascii="Calibri" w:eastAsia="Calibri" w:hAnsi="Calibri" w:cs="Calibri"/>
                <w:color w:val="000000" w:themeColor="text1"/>
                <w:lang w:val="de-DE"/>
              </w:rPr>
              <w:t>.</w:t>
            </w:r>
          </w:p>
        </w:tc>
        <w:tc>
          <w:tcPr>
            <w:tcW w:w="1701" w:type="dxa"/>
          </w:tcPr>
          <w:p w14:paraId="793EDD1C" w14:textId="529163C9" w:rsidR="001C2BA0" w:rsidRPr="00A57D8B" w:rsidRDefault="00C55A34" w:rsidP="001C2BA0">
            <w:pPr>
              <w:rPr>
                <w:rFonts w:ascii="Calibri" w:hAnsi="Calibri" w:cs="Calibri"/>
                <w:bCs/>
                <w:color w:val="000000" w:themeColor="text1"/>
                <w:lang w:val="en-GB"/>
              </w:rPr>
            </w:pPr>
            <w:proofErr w:type="spellStart"/>
            <w:r>
              <w:rPr>
                <w:rFonts w:ascii="Calibri" w:hAnsi="Calibri" w:cs="Calibri"/>
                <w:bCs/>
                <w:color w:val="000000" w:themeColor="text1"/>
                <w:lang w:val="en-GB"/>
              </w:rPr>
              <w:t>Teilweise</w:t>
            </w:r>
            <w:proofErr w:type="spellEnd"/>
          </w:p>
        </w:tc>
        <w:tc>
          <w:tcPr>
            <w:tcW w:w="5523" w:type="dxa"/>
          </w:tcPr>
          <w:p w14:paraId="49D941F6" w14:textId="5BEF000B" w:rsidR="00353133" w:rsidRPr="00C77207" w:rsidRDefault="002F5D13" w:rsidP="008543B6">
            <w:pPr>
              <w:rPr>
                <w:rFonts w:cstheme="minorHAnsi"/>
                <w:color w:val="000000" w:themeColor="text1"/>
                <w:lang w:val="de-DE"/>
              </w:rPr>
            </w:pPr>
            <w:r w:rsidRPr="00C77207">
              <w:rPr>
                <w:rFonts w:cstheme="minorHAnsi"/>
                <w:color w:val="000000" w:themeColor="text1"/>
                <w:lang w:val="de-DE"/>
              </w:rPr>
              <w:t xml:space="preserve">Eine Untersuchungshaft tritt nicht automatisch ein, sondern muss gesondert angeordnet werden. </w:t>
            </w:r>
            <w:r w:rsidR="00353133" w:rsidRPr="00C77207">
              <w:rPr>
                <w:rFonts w:cstheme="minorHAnsi"/>
                <w:color w:val="000000" w:themeColor="text1"/>
                <w:lang w:val="de-DE"/>
              </w:rPr>
              <w:t>Hierfür muss ein dringender Tatverdacht vorliegen, ein Haftgrund bestehen und die Anordnung in der Gesamtschau der Umstände verhältnismäßig sein (§ 112 Abs. 1 S.</w:t>
            </w:r>
            <w:r w:rsidR="00171894" w:rsidRPr="00C77207">
              <w:rPr>
                <w:rFonts w:cstheme="minorHAnsi"/>
                <w:color w:val="000000" w:themeColor="text1"/>
                <w:lang w:val="de-DE"/>
              </w:rPr>
              <w:t xml:space="preserve"> </w:t>
            </w:r>
            <w:r w:rsidR="00353133" w:rsidRPr="00C77207">
              <w:rPr>
                <w:rFonts w:cstheme="minorHAnsi"/>
                <w:color w:val="000000" w:themeColor="text1"/>
                <w:lang w:val="de-DE"/>
              </w:rPr>
              <w:t>1,2 StPO).</w:t>
            </w:r>
          </w:p>
          <w:p w14:paraId="26F9135C" w14:textId="77777777" w:rsidR="00353133" w:rsidRPr="00C77207" w:rsidRDefault="00353133" w:rsidP="008543B6">
            <w:pPr>
              <w:rPr>
                <w:rFonts w:cstheme="minorHAnsi"/>
                <w:color w:val="000000" w:themeColor="text1"/>
                <w:lang w:val="de-DE"/>
              </w:rPr>
            </w:pPr>
          </w:p>
          <w:p w14:paraId="66B4BD38" w14:textId="7AE1908A" w:rsidR="001C2BA0" w:rsidRPr="00C77207" w:rsidRDefault="002F5D13" w:rsidP="008543B6">
            <w:pPr>
              <w:rPr>
                <w:rFonts w:cstheme="minorHAnsi"/>
                <w:color w:val="000000" w:themeColor="text1"/>
                <w:lang w:val="de-DE"/>
              </w:rPr>
            </w:pPr>
            <w:r w:rsidRPr="00C77207">
              <w:rPr>
                <w:rFonts w:cstheme="minorHAnsi"/>
                <w:color w:val="000000" w:themeColor="text1"/>
                <w:lang w:val="de-DE"/>
              </w:rPr>
              <w:t>Ein Haftgrund besteht nach § 112 a Abs. 1 Nr.</w:t>
            </w:r>
            <w:r w:rsidR="00171894" w:rsidRPr="00C77207">
              <w:rPr>
                <w:rFonts w:cstheme="minorHAnsi"/>
                <w:color w:val="000000" w:themeColor="text1"/>
                <w:lang w:val="de-DE"/>
              </w:rPr>
              <w:t xml:space="preserve"> </w:t>
            </w:r>
            <w:r w:rsidRPr="00C77207">
              <w:rPr>
                <w:rFonts w:cstheme="minorHAnsi"/>
                <w:color w:val="000000" w:themeColor="text1"/>
                <w:lang w:val="de-DE"/>
              </w:rPr>
              <w:t>1 StPO speziell auch bei dringendem Tatverdacht bezüglich der verschiedenen Kindesmissbrauchstatbestände (§§ 176-176d</w:t>
            </w:r>
            <w:r w:rsidR="008B48C7" w:rsidRPr="00C77207">
              <w:rPr>
                <w:rFonts w:cstheme="minorHAnsi"/>
                <w:color w:val="000000" w:themeColor="text1"/>
                <w:lang w:val="de-DE"/>
              </w:rPr>
              <w:t>, 184b</w:t>
            </w:r>
            <w:r w:rsidRPr="00C77207">
              <w:rPr>
                <w:rFonts w:cstheme="minorHAnsi"/>
                <w:color w:val="000000" w:themeColor="text1"/>
                <w:lang w:val="de-DE"/>
              </w:rPr>
              <w:t xml:space="preserve"> StGB)</w:t>
            </w:r>
            <w:r w:rsidR="008B48C7" w:rsidRPr="00C77207">
              <w:rPr>
                <w:rFonts w:cstheme="minorHAnsi"/>
                <w:color w:val="000000" w:themeColor="text1"/>
                <w:lang w:val="de-DE"/>
              </w:rPr>
              <w:t>. Für die Anordnung muss</w:t>
            </w:r>
            <w:r w:rsidR="00353133" w:rsidRPr="00C77207">
              <w:rPr>
                <w:rFonts w:cstheme="minorHAnsi"/>
                <w:color w:val="000000" w:themeColor="text1"/>
                <w:lang w:val="de-DE"/>
              </w:rPr>
              <w:t xml:space="preserve"> zusätzlich</w:t>
            </w:r>
            <w:r w:rsidR="008B48C7" w:rsidRPr="00C77207">
              <w:rPr>
                <w:rFonts w:cstheme="minorHAnsi"/>
                <w:color w:val="000000" w:themeColor="text1"/>
                <w:lang w:val="de-DE"/>
              </w:rPr>
              <w:t xml:space="preserve"> begründet die Gefahr vorliegen, dass der Beschuldigte weitere Taten gleicher Art begehen oder die Straftat fortsetzen werde.</w:t>
            </w:r>
            <w:r w:rsidR="00262772" w:rsidRPr="00C77207">
              <w:rPr>
                <w:rFonts w:cstheme="minorHAnsi"/>
                <w:color w:val="000000" w:themeColor="text1"/>
                <w:lang w:val="de-DE"/>
              </w:rPr>
              <w:t xml:space="preserve"> </w:t>
            </w:r>
            <w:r w:rsidR="00D34853" w:rsidRPr="00C77207">
              <w:rPr>
                <w:rFonts w:cstheme="minorHAnsi"/>
                <w:color w:val="000000" w:themeColor="text1"/>
                <w:lang w:val="de-DE"/>
              </w:rPr>
              <w:t>Hierbei gilt jedoch zu beachten, dass schon die einmalige Begeh</w:t>
            </w:r>
            <w:r w:rsidR="00C20820" w:rsidRPr="00C77207">
              <w:rPr>
                <w:rFonts w:cstheme="minorHAnsi"/>
                <w:color w:val="000000" w:themeColor="text1"/>
                <w:lang w:val="de-DE"/>
              </w:rPr>
              <w:t>ung einer solchen Sexualstraftat weitere Taten ähnlicher Art befürchten lässt.</w:t>
            </w:r>
            <w:r w:rsidR="00C20820" w:rsidRPr="00C77207">
              <w:rPr>
                <w:rStyle w:val="FootnoteReference"/>
                <w:rFonts w:cstheme="minorHAnsi"/>
                <w:color w:val="000000" w:themeColor="text1"/>
                <w:lang w:val="de-DE"/>
              </w:rPr>
              <w:footnoteReference w:id="16"/>
            </w:r>
          </w:p>
          <w:p w14:paraId="7B26208E" w14:textId="00BBE83E" w:rsidR="00262772" w:rsidRPr="00C77207" w:rsidRDefault="00262772" w:rsidP="008543B6">
            <w:pPr>
              <w:rPr>
                <w:rFonts w:cstheme="minorHAnsi"/>
                <w:color w:val="000000" w:themeColor="text1"/>
                <w:lang w:val="de-DE"/>
              </w:rPr>
            </w:pPr>
          </w:p>
          <w:p w14:paraId="43C9415B" w14:textId="77B971EC" w:rsidR="00262772" w:rsidRPr="00C77207" w:rsidRDefault="00262772" w:rsidP="008543B6">
            <w:pPr>
              <w:rPr>
                <w:rFonts w:cstheme="minorHAnsi"/>
                <w:color w:val="000000" w:themeColor="text1"/>
                <w:lang w:val="de-DE"/>
              </w:rPr>
            </w:pPr>
            <w:r w:rsidRPr="00C77207">
              <w:rPr>
                <w:rFonts w:cstheme="minorHAnsi"/>
                <w:color w:val="000000" w:themeColor="text1"/>
                <w:lang w:val="de-DE"/>
              </w:rPr>
              <w:t>Sollte keine Untersuchungshaft ange</w:t>
            </w:r>
            <w:r w:rsidR="003F57E4" w:rsidRPr="00C77207">
              <w:rPr>
                <w:rFonts w:cstheme="minorHAnsi"/>
                <w:color w:val="000000" w:themeColor="text1"/>
                <w:lang w:val="de-DE"/>
              </w:rPr>
              <w:t>ordnet werden, darf ein Beschuldigter grundsätzlich auch das Land verlassen. Hierbei gilt es zu beachten, dass ein zusätzlicher Haftgrund für eine Untersuchungshaft nach (§ 112 Abs. 2 Nr.</w:t>
            </w:r>
            <w:r w:rsidR="00171894" w:rsidRPr="00C77207">
              <w:rPr>
                <w:rFonts w:cstheme="minorHAnsi"/>
                <w:color w:val="000000" w:themeColor="text1"/>
                <w:lang w:val="de-DE"/>
              </w:rPr>
              <w:t xml:space="preserve"> </w:t>
            </w:r>
            <w:r w:rsidR="003F57E4" w:rsidRPr="00C77207">
              <w:rPr>
                <w:rFonts w:cstheme="minorHAnsi"/>
                <w:color w:val="000000" w:themeColor="text1"/>
                <w:lang w:val="de-DE"/>
              </w:rPr>
              <w:t xml:space="preserve">2 StPO) dann gegeben ist, wenn Fluchtgefahr besteht. Diese wird dann gesehen, wenn bei Würdigung der Umstände des Einzelfalles die Gefahr besteht, dass der Beschuldigte sich dem Strafverfahren entziehen werde. </w:t>
            </w:r>
          </w:p>
          <w:p w14:paraId="42C1AA2A" w14:textId="1AA9F6E9" w:rsidR="003F57E4" w:rsidRPr="00C77207" w:rsidRDefault="003F57E4" w:rsidP="008543B6">
            <w:pPr>
              <w:rPr>
                <w:rFonts w:cstheme="minorHAnsi"/>
                <w:color w:val="000000" w:themeColor="text1"/>
                <w:lang w:val="de-DE"/>
              </w:rPr>
            </w:pPr>
          </w:p>
          <w:p w14:paraId="05720078" w14:textId="6976A269" w:rsidR="003F57E4" w:rsidRPr="00C77207" w:rsidRDefault="003F57E4" w:rsidP="008543B6">
            <w:pPr>
              <w:rPr>
                <w:rFonts w:cstheme="minorHAnsi"/>
                <w:color w:val="000000" w:themeColor="text1"/>
                <w:lang w:val="de-DE"/>
              </w:rPr>
            </w:pPr>
            <w:r w:rsidRPr="00C77207">
              <w:rPr>
                <w:rFonts w:cstheme="minorHAnsi"/>
                <w:color w:val="000000" w:themeColor="text1"/>
                <w:lang w:val="de-DE"/>
              </w:rPr>
              <w:t xml:space="preserve">Dies kann vor allem bei Fällen relevant sein, wenn </w:t>
            </w:r>
            <w:r w:rsidR="00353133" w:rsidRPr="00C77207">
              <w:rPr>
                <w:rFonts w:cstheme="minorHAnsi"/>
                <w:color w:val="000000" w:themeColor="text1"/>
                <w:lang w:val="de-DE"/>
              </w:rPr>
              <w:t>ein</w:t>
            </w:r>
            <w:r w:rsidR="001B4F4F">
              <w:rPr>
                <w:rFonts w:cstheme="minorHAnsi"/>
                <w:color w:val="000000" w:themeColor="text1"/>
                <w:lang w:val="de-DE"/>
              </w:rPr>
              <w:t xml:space="preserve"> </w:t>
            </w:r>
            <w:r w:rsidR="00353133" w:rsidRPr="00C77207">
              <w:rPr>
                <w:rFonts w:cstheme="minorHAnsi"/>
                <w:color w:val="000000" w:themeColor="text1"/>
                <w:lang w:val="de-DE"/>
              </w:rPr>
              <w:t>Nichtdeutscher in sein Heimatland zurück</w:t>
            </w:r>
            <w:r w:rsidR="00C6050A">
              <w:rPr>
                <w:rFonts w:cstheme="minorHAnsi"/>
                <w:color w:val="000000" w:themeColor="text1"/>
                <w:lang w:val="de-DE"/>
              </w:rPr>
              <w:t>zu</w:t>
            </w:r>
            <w:r w:rsidR="00353133" w:rsidRPr="00C77207">
              <w:rPr>
                <w:rFonts w:cstheme="minorHAnsi"/>
                <w:color w:val="000000" w:themeColor="text1"/>
                <w:lang w:val="de-DE"/>
              </w:rPr>
              <w:t xml:space="preserve">kehren </w:t>
            </w:r>
            <w:r w:rsidR="00353133" w:rsidRPr="00C77207">
              <w:rPr>
                <w:rFonts w:cstheme="minorHAnsi"/>
                <w:color w:val="000000" w:themeColor="text1"/>
                <w:lang w:val="de-DE"/>
              </w:rPr>
              <w:lastRenderedPageBreak/>
              <w:t>gedenkt oder ein Deutscher z.B. Familie im außereuropäischen Ausland zu besuchen gesucht.</w:t>
            </w:r>
          </w:p>
          <w:p w14:paraId="60320403" w14:textId="79D0D5AE" w:rsidR="0077068E" w:rsidRPr="00C77207" w:rsidRDefault="0077068E" w:rsidP="008543B6">
            <w:pPr>
              <w:rPr>
                <w:rFonts w:cstheme="minorHAnsi"/>
                <w:color w:val="000000" w:themeColor="text1"/>
                <w:lang w:val="de-DE"/>
              </w:rPr>
            </w:pPr>
          </w:p>
          <w:p w14:paraId="5BA2784F" w14:textId="6785200B" w:rsidR="0077068E" w:rsidRPr="00C77207" w:rsidRDefault="0077068E" w:rsidP="008543B6">
            <w:pPr>
              <w:rPr>
                <w:rFonts w:cstheme="minorHAnsi"/>
                <w:color w:val="000000" w:themeColor="text1"/>
                <w:lang w:val="de-DE"/>
              </w:rPr>
            </w:pPr>
            <w:r w:rsidRPr="00C77207">
              <w:rPr>
                <w:rFonts w:cstheme="minorHAnsi"/>
                <w:color w:val="000000" w:themeColor="text1"/>
                <w:lang w:val="de-DE"/>
              </w:rPr>
              <w:t xml:space="preserve">Ein angeordneter Haftbefehl kann wiederum nach § 116 StPO ausgesetzt werden, wenn weniger einschneidende Maßnahmen ebenfalls den Zweck der Untersuchungshaft erreichen können. </w:t>
            </w:r>
            <w:r w:rsidR="00026A1C" w:rsidRPr="00C77207">
              <w:rPr>
                <w:rFonts w:cstheme="minorHAnsi"/>
                <w:color w:val="000000" w:themeColor="text1"/>
                <w:lang w:val="de-DE"/>
              </w:rPr>
              <w:t xml:space="preserve">Hierfür </w:t>
            </w:r>
            <w:r w:rsidR="009A6268" w:rsidRPr="00C77207">
              <w:rPr>
                <w:rFonts w:cstheme="minorHAnsi"/>
                <w:color w:val="000000" w:themeColor="text1"/>
                <w:lang w:val="de-DE"/>
              </w:rPr>
              <w:t>ist</w:t>
            </w:r>
            <w:r w:rsidR="00026A1C" w:rsidRPr="00C77207">
              <w:rPr>
                <w:rFonts w:cstheme="minorHAnsi"/>
                <w:color w:val="000000" w:themeColor="text1"/>
                <w:lang w:val="de-DE"/>
              </w:rPr>
              <w:t xml:space="preserve"> eine Reihe verschiedener Maßnahmen möglich, u.A. auch Anweisungen bezüglich des Aufenthaltsortes. Die Entscheidung der genauen Maßnahme obliegt dem Richter.</w:t>
            </w:r>
          </w:p>
          <w:p w14:paraId="7BB566EA" w14:textId="3ECC0B39" w:rsidR="008B48C7" w:rsidRPr="00C77207" w:rsidRDefault="008B48C7" w:rsidP="008543B6">
            <w:pPr>
              <w:rPr>
                <w:rFonts w:cstheme="minorHAnsi"/>
                <w:color w:val="000000" w:themeColor="text1"/>
                <w:lang w:val="de-DE"/>
              </w:rPr>
            </w:pPr>
          </w:p>
        </w:tc>
      </w:tr>
      <w:tr w:rsidR="001C2BA0" w:rsidRPr="00F206A4" w14:paraId="4A5F1EDC" w14:textId="77777777" w:rsidTr="00A57D8B">
        <w:trPr>
          <w:trHeight w:val="432"/>
        </w:trPr>
        <w:tc>
          <w:tcPr>
            <w:tcW w:w="425" w:type="dxa"/>
          </w:tcPr>
          <w:p w14:paraId="46F71EEA" w14:textId="77777777" w:rsidR="001C2BA0" w:rsidRPr="002F5D13" w:rsidRDefault="001C2BA0" w:rsidP="001C2BA0">
            <w:pPr>
              <w:numPr>
                <w:ilvl w:val="0"/>
                <w:numId w:val="2"/>
              </w:numPr>
              <w:contextualSpacing/>
              <w:rPr>
                <w:rFonts w:ascii="Calibri" w:hAnsi="Calibri" w:cs="Calibri"/>
                <w:szCs w:val="28"/>
                <w:lang w:val="de-DE"/>
              </w:rPr>
            </w:pPr>
          </w:p>
        </w:tc>
        <w:tc>
          <w:tcPr>
            <w:tcW w:w="5387" w:type="dxa"/>
          </w:tcPr>
          <w:p w14:paraId="1169D0DA" w14:textId="66F3474B" w:rsidR="001C2BA0" w:rsidRPr="00E32B82" w:rsidRDefault="00E32B82" w:rsidP="001C2BA0">
            <w:pPr>
              <w:rPr>
                <w:rFonts w:ascii="Calibri" w:hAnsi="Calibri" w:cs="Calibri"/>
                <w:color w:val="000000" w:themeColor="text1"/>
                <w:highlight w:val="cyan"/>
                <w:lang w:val="de-DE"/>
              </w:rPr>
            </w:pPr>
            <w:r w:rsidRPr="00E32B82">
              <w:rPr>
                <w:rFonts w:ascii="Calibri" w:eastAsia="Calibri" w:hAnsi="Calibri" w:cs="Calibri"/>
                <w:color w:val="000000" w:themeColor="text1"/>
                <w:lang w:val="de-DE"/>
              </w:rPr>
              <w:t xml:space="preserve">Gesetzliche Regelung, dass der </w:t>
            </w:r>
            <w:r w:rsidRPr="00E32B82">
              <w:rPr>
                <w:rFonts w:ascii="Calibri" w:eastAsia="Calibri" w:hAnsi="Calibri" w:cs="Calibri"/>
                <w:b/>
                <w:color w:val="000000" w:themeColor="text1"/>
                <w:lang w:val="de-DE"/>
              </w:rPr>
              <w:t>bloße Versuch</w:t>
            </w:r>
            <w:r w:rsidRPr="00E32B82">
              <w:rPr>
                <w:rFonts w:ascii="Calibri" w:eastAsia="Calibri" w:hAnsi="Calibri" w:cs="Calibri"/>
                <w:color w:val="000000" w:themeColor="text1"/>
                <w:lang w:val="de-DE"/>
              </w:rPr>
              <w:t>, eine Straftat der sexuellen Ausbeutung von Kindern zu begehen, unter Strafe gestellt wird.</w:t>
            </w:r>
          </w:p>
        </w:tc>
        <w:tc>
          <w:tcPr>
            <w:tcW w:w="1701" w:type="dxa"/>
          </w:tcPr>
          <w:p w14:paraId="237DE682" w14:textId="74B75344" w:rsidR="001C2BA0" w:rsidRPr="00A57D8B" w:rsidRDefault="00C55A34" w:rsidP="001C2BA0">
            <w:pPr>
              <w:rPr>
                <w:rFonts w:ascii="Calibri" w:hAnsi="Calibri" w:cs="Calibri"/>
                <w:bCs/>
                <w:color w:val="000000" w:themeColor="text1"/>
                <w:lang w:val="en-GB"/>
              </w:rPr>
            </w:pPr>
            <w:proofErr w:type="spellStart"/>
            <w:r>
              <w:rPr>
                <w:rFonts w:ascii="Calibri" w:hAnsi="Calibri" w:cs="Calibri"/>
                <w:bCs/>
                <w:color w:val="000000" w:themeColor="text1"/>
                <w:lang w:val="en-GB"/>
              </w:rPr>
              <w:t>Ja</w:t>
            </w:r>
            <w:proofErr w:type="spellEnd"/>
          </w:p>
        </w:tc>
        <w:tc>
          <w:tcPr>
            <w:tcW w:w="5523" w:type="dxa"/>
          </w:tcPr>
          <w:p w14:paraId="43C089B6" w14:textId="60F098B8" w:rsidR="001C2BA0" w:rsidRPr="00C77207" w:rsidRDefault="008E5A55" w:rsidP="008543B6">
            <w:pPr>
              <w:rPr>
                <w:rFonts w:cstheme="minorHAnsi"/>
                <w:color w:val="000000" w:themeColor="text1"/>
                <w:lang w:val="de-DE"/>
              </w:rPr>
            </w:pPr>
            <w:r w:rsidRPr="00C77207">
              <w:rPr>
                <w:rFonts w:cstheme="minorHAnsi"/>
                <w:color w:val="000000" w:themeColor="text1"/>
                <w:lang w:val="de-DE"/>
              </w:rPr>
              <w:t>Der Versuch des Missbrauchs von Kindern mit (§§ 176 Abs.</w:t>
            </w:r>
            <w:r w:rsidR="00171894" w:rsidRPr="00C77207">
              <w:rPr>
                <w:rFonts w:cstheme="minorHAnsi"/>
                <w:color w:val="000000" w:themeColor="text1"/>
                <w:lang w:val="de-DE"/>
              </w:rPr>
              <w:t xml:space="preserve"> </w:t>
            </w:r>
            <w:r w:rsidRPr="00C77207">
              <w:rPr>
                <w:rFonts w:cstheme="minorHAnsi"/>
                <w:color w:val="000000" w:themeColor="text1"/>
                <w:lang w:val="de-DE"/>
              </w:rPr>
              <w:t>1, 12 Abs.1, 22, 23 Abs.</w:t>
            </w:r>
            <w:r w:rsidR="00171894" w:rsidRPr="00C77207">
              <w:rPr>
                <w:rFonts w:cstheme="minorHAnsi"/>
                <w:color w:val="000000" w:themeColor="text1"/>
                <w:lang w:val="de-DE"/>
              </w:rPr>
              <w:t xml:space="preserve"> </w:t>
            </w:r>
            <w:r w:rsidRPr="00C77207">
              <w:rPr>
                <w:rFonts w:cstheme="minorHAnsi"/>
                <w:color w:val="000000" w:themeColor="text1"/>
                <w:lang w:val="de-DE"/>
              </w:rPr>
              <w:t>1 StGB) oder ohne Körperkontakt (§§</w:t>
            </w:r>
            <w:r w:rsidR="00CC7253" w:rsidRPr="00C77207">
              <w:rPr>
                <w:rFonts w:cstheme="minorHAnsi"/>
                <w:color w:val="000000" w:themeColor="text1"/>
                <w:lang w:val="de-DE"/>
              </w:rPr>
              <w:t xml:space="preserve"> 176 Abs. 1, Abs.</w:t>
            </w:r>
            <w:r w:rsidR="00171894" w:rsidRPr="00C77207">
              <w:rPr>
                <w:rFonts w:cstheme="minorHAnsi"/>
                <w:color w:val="000000" w:themeColor="text1"/>
                <w:lang w:val="de-DE"/>
              </w:rPr>
              <w:t xml:space="preserve"> </w:t>
            </w:r>
            <w:r w:rsidR="00CC7253" w:rsidRPr="00C77207">
              <w:rPr>
                <w:rFonts w:cstheme="minorHAnsi"/>
                <w:color w:val="000000" w:themeColor="text1"/>
                <w:lang w:val="de-DE"/>
              </w:rPr>
              <w:t>3, 12 Abs. 2, 22, 23 Abs.</w:t>
            </w:r>
            <w:r w:rsidR="00171894" w:rsidRPr="00C77207">
              <w:rPr>
                <w:rFonts w:cstheme="minorHAnsi"/>
                <w:color w:val="000000" w:themeColor="text1"/>
                <w:lang w:val="de-DE"/>
              </w:rPr>
              <w:t xml:space="preserve"> </w:t>
            </w:r>
            <w:r w:rsidR="00CC7253" w:rsidRPr="00C77207">
              <w:rPr>
                <w:rFonts w:cstheme="minorHAnsi"/>
                <w:color w:val="000000" w:themeColor="text1"/>
                <w:lang w:val="de-DE"/>
              </w:rPr>
              <w:t xml:space="preserve">1 StGB) </w:t>
            </w:r>
            <w:r w:rsidRPr="00C77207">
              <w:rPr>
                <w:rFonts w:cstheme="minorHAnsi"/>
                <w:color w:val="000000" w:themeColor="text1"/>
                <w:lang w:val="de-DE"/>
              </w:rPr>
              <w:t>ist strafbar. Ebenso ist strafbar, ein Kind anzubieten, zu versprechen eine entsprechende Tat nachzuweisen oder sich mit einem anderen zu einer solchen Tat zu verabreden</w:t>
            </w:r>
            <w:r w:rsidR="00CC7253" w:rsidRPr="00C77207">
              <w:rPr>
                <w:rFonts w:cstheme="minorHAnsi"/>
                <w:color w:val="000000" w:themeColor="text1"/>
                <w:lang w:val="de-DE"/>
              </w:rPr>
              <w:t xml:space="preserve"> (§§ 176a Abs.</w:t>
            </w:r>
            <w:r w:rsidR="00171894" w:rsidRPr="00C77207">
              <w:rPr>
                <w:rFonts w:cstheme="minorHAnsi"/>
                <w:color w:val="000000" w:themeColor="text1"/>
                <w:lang w:val="de-DE"/>
              </w:rPr>
              <w:t xml:space="preserve"> </w:t>
            </w:r>
            <w:r w:rsidR="00CC7253" w:rsidRPr="00C77207">
              <w:rPr>
                <w:rFonts w:cstheme="minorHAnsi"/>
                <w:color w:val="000000" w:themeColor="text1"/>
                <w:lang w:val="de-DE"/>
              </w:rPr>
              <w:t>2</w:t>
            </w:r>
            <w:r w:rsidRPr="00C77207">
              <w:rPr>
                <w:rFonts w:cstheme="minorHAnsi"/>
                <w:color w:val="000000" w:themeColor="text1"/>
                <w:lang w:val="de-DE"/>
              </w:rPr>
              <w:t>.</w:t>
            </w:r>
            <w:r w:rsidR="00CC7253" w:rsidRPr="00C77207">
              <w:rPr>
                <w:rFonts w:cstheme="minorHAnsi"/>
                <w:color w:val="000000" w:themeColor="text1"/>
                <w:lang w:val="de-DE"/>
              </w:rPr>
              <w:t>,</w:t>
            </w:r>
            <w:r w:rsidRPr="00C77207">
              <w:rPr>
                <w:rFonts w:cstheme="minorHAnsi"/>
                <w:color w:val="000000" w:themeColor="text1"/>
                <w:lang w:val="de-DE"/>
              </w:rPr>
              <w:t xml:space="preserve"> </w:t>
            </w:r>
            <w:r w:rsidR="00CC7253" w:rsidRPr="00C77207">
              <w:rPr>
                <w:rFonts w:cstheme="minorHAnsi"/>
                <w:color w:val="000000" w:themeColor="text1"/>
                <w:lang w:val="de-DE"/>
              </w:rPr>
              <w:t>176b Abs.</w:t>
            </w:r>
            <w:r w:rsidR="00171894" w:rsidRPr="00C77207">
              <w:rPr>
                <w:rFonts w:cstheme="minorHAnsi"/>
                <w:color w:val="000000" w:themeColor="text1"/>
                <w:lang w:val="de-DE"/>
              </w:rPr>
              <w:t xml:space="preserve"> </w:t>
            </w:r>
            <w:r w:rsidR="00CC7253" w:rsidRPr="00C77207">
              <w:rPr>
                <w:rFonts w:cstheme="minorHAnsi"/>
                <w:color w:val="000000" w:themeColor="text1"/>
                <w:lang w:val="de-DE"/>
              </w:rPr>
              <w:t>2 StGB).</w:t>
            </w:r>
          </w:p>
          <w:p w14:paraId="554B69D4" w14:textId="163B3182" w:rsidR="00974994" w:rsidRPr="00C77207" w:rsidRDefault="00646BF3" w:rsidP="008543B6">
            <w:pPr>
              <w:rPr>
                <w:rFonts w:cstheme="minorHAnsi"/>
                <w:color w:val="000000" w:themeColor="text1"/>
                <w:lang w:val="de-DE"/>
              </w:rPr>
            </w:pPr>
            <w:r w:rsidRPr="00C77207">
              <w:rPr>
                <w:rFonts w:cstheme="minorHAnsi"/>
                <w:color w:val="000000" w:themeColor="text1"/>
                <w:lang w:val="de-DE"/>
              </w:rPr>
              <w:t xml:space="preserve">Auch der Versuch </w:t>
            </w:r>
            <w:r w:rsidR="00974994" w:rsidRPr="00C77207">
              <w:rPr>
                <w:rFonts w:cstheme="minorHAnsi"/>
                <w:color w:val="000000" w:themeColor="text1"/>
                <w:lang w:val="de-DE"/>
              </w:rPr>
              <w:t xml:space="preserve">des Menschenhandels in Form </w:t>
            </w:r>
            <w:r w:rsidRPr="00C77207">
              <w:rPr>
                <w:rFonts w:cstheme="minorHAnsi"/>
                <w:color w:val="000000" w:themeColor="text1"/>
                <w:lang w:val="de-DE"/>
              </w:rPr>
              <w:t xml:space="preserve">der sexuellen Ausbeutung </w:t>
            </w:r>
            <w:r w:rsidR="00974994" w:rsidRPr="00C77207">
              <w:rPr>
                <w:rFonts w:cstheme="minorHAnsi"/>
                <w:color w:val="000000" w:themeColor="text1"/>
                <w:lang w:val="de-DE"/>
              </w:rPr>
              <w:t>(Zwangsprostitution) ist nach §§ 232a Abs.</w:t>
            </w:r>
            <w:r w:rsidR="00171894" w:rsidRPr="00C77207">
              <w:rPr>
                <w:rFonts w:cstheme="minorHAnsi"/>
                <w:color w:val="000000" w:themeColor="text1"/>
                <w:lang w:val="de-DE"/>
              </w:rPr>
              <w:t xml:space="preserve"> </w:t>
            </w:r>
            <w:r w:rsidR="00974994" w:rsidRPr="00C77207">
              <w:rPr>
                <w:rFonts w:cstheme="minorHAnsi"/>
                <w:color w:val="000000" w:themeColor="text1"/>
                <w:lang w:val="de-DE"/>
              </w:rPr>
              <w:t>1 Nr.</w:t>
            </w:r>
            <w:r w:rsidR="00171894" w:rsidRPr="00C77207">
              <w:rPr>
                <w:rFonts w:cstheme="minorHAnsi"/>
                <w:color w:val="000000" w:themeColor="text1"/>
                <w:lang w:val="de-DE"/>
              </w:rPr>
              <w:t xml:space="preserve"> </w:t>
            </w:r>
            <w:r w:rsidR="00974994" w:rsidRPr="00C77207">
              <w:rPr>
                <w:rFonts w:cstheme="minorHAnsi"/>
                <w:color w:val="000000" w:themeColor="text1"/>
                <w:lang w:val="de-DE"/>
              </w:rPr>
              <w:t>1, Abs.</w:t>
            </w:r>
            <w:r w:rsidR="00171894" w:rsidRPr="00C77207">
              <w:rPr>
                <w:rFonts w:cstheme="minorHAnsi"/>
                <w:color w:val="000000" w:themeColor="text1"/>
                <w:lang w:val="de-DE"/>
              </w:rPr>
              <w:t xml:space="preserve"> </w:t>
            </w:r>
            <w:r w:rsidR="00974994" w:rsidRPr="00C77207">
              <w:rPr>
                <w:rFonts w:cstheme="minorHAnsi"/>
                <w:color w:val="000000" w:themeColor="text1"/>
                <w:lang w:val="de-DE"/>
              </w:rPr>
              <w:t>2, 12 Abs.</w:t>
            </w:r>
            <w:r w:rsidR="00171894" w:rsidRPr="00C77207">
              <w:rPr>
                <w:rFonts w:cstheme="minorHAnsi"/>
                <w:color w:val="000000" w:themeColor="text1"/>
                <w:lang w:val="de-DE"/>
              </w:rPr>
              <w:t xml:space="preserve"> </w:t>
            </w:r>
            <w:r w:rsidR="00974994" w:rsidRPr="00C77207">
              <w:rPr>
                <w:rFonts w:cstheme="minorHAnsi"/>
                <w:color w:val="000000" w:themeColor="text1"/>
                <w:lang w:val="de-DE"/>
              </w:rPr>
              <w:t>2, 22, 23 Abs. 1 StGB strafbar.</w:t>
            </w:r>
          </w:p>
          <w:p w14:paraId="17C4E0E3" w14:textId="2B3B526E" w:rsidR="00974994" w:rsidRPr="00C77207" w:rsidRDefault="00974994" w:rsidP="008543B6">
            <w:pPr>
              <w:rPr>
                <w:rFonts w:cstheme="minorHAnsi"/>
                <w:color w:val="000000" w:themeColor="text1"/>
                <w:lang w:val="de-DE"/>
              </w:rPr>
            </w:pPr>
            <w:r w:rsidRPr="00C77207">
              <w:rPr>
                <w:rFonts w:cstheme="minorHAnsi"/>
                <w:color w:val="000000" w:themeColor="text1"/>
                <w:lang w:val="de-DE"/>
              </w:rPr>
              <w:t>Der Versuch des reinen Menschenhandels, der denkbar vor einer sexuellen Ausbeutung stattfindet, ist ebenfalls nach §§ 232 Abs.</w:t>
            </w:r>
            <w:r w:rsidR="00171894" w:rsidRPr="00C77207">
              <w:rPr>
                <w:rFonts w:cstheme="minorHAnsi"/>
                <w:color w:val="000000" w:themeColor="text1"/>
                <w:lang w:val="de-DE"/>
              </w:rPr>
              <w:t xml:space="preserve"> </w:t>
            </w:r>
            <w:r w:rsidRPr="00C77207">
              <w:rPr>
                <w:rFonts w:cstheme="minorHAnsi"/>
                <w:color w:val="000000" w:themeColor="text1"/>
                <w:lang w:val="de-DE"/>
              </w:rPr>
              <w:t>3</w:t>
            </w:r>
            <w:r w:rsidR="004B3F43" w:rsidRPr="00C77207">
              <w:rPr>
                <w:rFonts w:cstheme="minorHAnsi"/>
                <w:color w:val="000000" w:themeColor="text1"/>
                <w:lang w:val="de-DE"/>
              </w:rPr>
              <w:t>, Abs.</w:t>
            </w:r>
            <w:r w:rsidR="00171894" w:rsidRPr="00C77207">
              <w:rPr>
                <w:rFonts w:cstheme="minorHAnsi"/>
                <w:color w:val="000000" w:themeColor="text1"/>
                <w:lang w:val="de-DE"/>
              </w:rPr>
              <w:t xml:space="preserve"> </w:t>
            </w:r>
            <w:r w:rsidR="004B3F43" w:rsidRPr="00C77207">
              <w:rPr>
                <w:rFonts w:cstheme="minorHAnsi"/>
                <w:color w:val="000000" w:themeColor="text1"/>
                <w:lang w:val="de-DE"/>
              </w:rPr>
              <w:t>4</w:t>
            </w:r>
            <w:r w:rsidRPr="00C77207">
              <w:rPr>
                <w:rFonts w:cstheme="minorHAnsi"/>
                <w:color w:val="000000" w:themeColor="text1"/>
                <w:lang w:val="de-DE"/>
              </w:rPr>
              <w:t>, 12 Abs.</w:t>
            </w:r>
            <w:r w:rsidR="00171894" w:rsidRPr="00C77207">
              <w:rPr>
                <w:rFonts w:cstheme="minorHAnsi"/>
                <w:color w:val="000000" w:themeColor="text1"/>
                <w:lang w:val="de-DE"/>
              </w:rPr>
              <w:t xml:space="preserve"> </w:t>
            </w:r>
            <w:r w:rsidRPr="00C77207">
              <w:rPr>
                <w:rFonts w:cstheme="minorHAnsi"/>
                <w:color w:val="000000" w:themeColor="text1"/>
                <w:lang w:val="de-DE"/>
              </w:rPr>
              <w:t xml:space="preserve">2, 22, 23 Abs. 1 StGB </w:t>
            </w:r>
            <w:r w:rsidR="004B3F43" w:rsidRPr="00C77207">
              <w:rPr>
                <w:rFonts w:cstheme="minorHAnsi"/>
                <w:color w:val="000000" w:themeColor="text1"/>
                <w:lang w:val="de-DE"/>
              </w:rPr>
              <w:t>strafbar.</w:t>
            </w:r>
          </w:p>
          <w:p w14:paraId="2CBA2C57" w14:textId="7D43DC4B" w:rsidR="004B3F43" w:rsidRPr="00C77207" w:rsidRDefault="004B3F43" w:rsidP="008543B6">
            <w:pPr>
              <w:rPr>
                <w:rFonts w:cstheme="minorHAnsi"/>
                <w:color w:val="000000" w:themeColor="text1"/>
                <w:lang w:val="de-DE"/>
              </w:rPr>
            </w:pPr>
          </w:p>
          <w:p w14:paraId="170460AD" w14:textId="04C40589" w:rsidR="000F4E5F" w:rsidRPr="00C77207" w:rsidRDefault="000F4E5F" w:rsidP="008543B6">
            <w:pPr>
              <w:rPr>
                <w:rFonts w:cstheme="minorHAnsi"/>
                <w:color w:val="000000" w:themeColor="text1"/>
                <w:lang w:val="de-DE"/>
              </w:rPr>
            </w:pPr>
            <w:r w:rsidRPr="00C77207">
              <w:rPr>
                <w:rFonts w:cstheme="minorHAnsi"/>
                <w:color w:val="000000" w:themeColor="text1"/>
                <w:lang w:val="de-DE"/>
              </w:rPr>
              <w:t>Der Versuch kinderpornografische Inhalte zu verbreiten, anderen zugänglich zu machen, herzustellen oder zu besitzen ist nach §§ 184b Abs. 1 S.</w:t>
            </w:r>
            <w:r w:rsidR="00B7671F" w:rsidRPr="00C77207">
              <w:rPr>
                <w:rFonts w:cstheme="minorHAnsi"/>
                <w:color w:val="000000" w:themeColor="text1"/>
                <w:lang w:val="de-DE"/>
              </w:rPr>
              <w:t xml:space="preserve"> </w:t>
            </w:r>
            <w:r w:rsidRPr="00C77207">
              <w:rPr>
                <w:rFonts w:cstheme="minorHAnsi"/>
                <w:color w:val="000000" w:themeColor="text1"/>
                <w:lang w:val="de-DE"/>
              </w:rPr>
              <w:t>1, 12 Abs.</w:t>
            </w:r>
            <w:r w:rsidR="00B7671F" w:rsidRPr="00C77207">
              <w:rPr>
                <w:rFonts w:cstheme="minorHAnsi"/>
                <w:color w:val="000000" w:themeColor="text1"/>
                <w:lang w:val="de-DE"/>
              </w:rPr>
              <w:t xml:space="preserve"> </w:t>
            </w:r>
            <w:r w:rsidRPr="00C77207">
              <w:rPr>
                <w:rFonts w:cstheme="minorHAnsi"/>
                <w:color w:val="000000" w:themeColor="text1"/>
                <w:lang w:val="de-DE"/>
              </w:rPr>
              <w:t>1, 22, 23 Abs.</w:t>
            </w:r>
            <w:r w:rsidR="00B7671F" w:rsidRPr="00C77207">
              <w:rPr>
                <w:rFonts w:cstheme="minorHAnsi"/>
                <w:color w:val="000000" w:themeColor="text1"/>
                <w:lang w:val="de-DE"/>
              </w:rPr>
              <w:t xml:space="preserve"> </w:t>
            </w:r>
            <w:r w:rsidRPr="00C77207">
              <w:rPr>
                <w:rFonts w:cstheme="minorHAnsi"/>
                <w:color w:val="000000" w:themeColor="text1"/>
                <w:lang w:val="de-DE"/>
              </w:rPr>
              <w:t>1 StGB strafbar.</w:t>
            </w:r>
          </w:p>
          <w:p w14:paraId="246C9C95" w14:textId="17249E84" w:rsidR="000F4E5F" w:rsidRPr="00C77207" w:rsidRDefault="000F4E5F" w:rsidP="008543B6">
            <w:pPr>
              <w:rPr>
                <w:rFonts w:cstheme="minorHAnsi"/>
                <w:color w:val="000000" w:themeColor="text1"/>
                <w:lang w:val="de-DE"/>
              </w:rPr>
            </w:pPr>
            <w:r w:rsidRPr="00C77207">
              <w:rPr>
                <w:rFonts w:cstheme="minorHAnsi"/>
                <w:color w:val="000000" w:themeColor="text1"/>
                <w:lang w:val="de-DE"/>
              </w:rPr>
              <w:t xml:space="preserve">Bezüglich der sexuellen Ausbeutung von Kindern über das Internet ist die Beurteilung der Strafbarkeit je nach Fallkonstellation komplexer und setzt sich aus den </w:t>
            </w:r>
            <w:r w:rsidRPr="00C77207">
              <w:rPr>
                <w:rFonts w:cstheme="minorHAnsi"/>
                <w:color w:val="000000" w:themeColor="text1"/>
                <w:lang w:val="de-DE"/>
              </w:rPr>
              <w:lastRenderedPageBreak/>
              <w:t>verschiedenen genan</w:t>
            </w:r>
            <w:r w:rsidR="00700BCE" w:rsidRPr="00C77207">
              <w:rPr>
                <w:rFonts w:cstheme="minorHAnsi"/>
                <w:color w:val="000000" w:themeColor="text1"/>
                <w:lang w:val="de-DE"/>
              </w:rPr>
              <w:t>nten Straftat</w:t>
            </w:r>
            <w:r w:rsidR="00962CF4" w:rsidRPr="00C77207">
              <w:rPr>
                <w:rFonts w:cstheme="minorHAnsi"/>
                <w:color w:val="000000" w:themeColor="text1"/>
                <w:lang w:val="de-DE"/>
              </w:rPr>
              <w:t>beständen</w:t>
            </w:r>
            <w:r w:rsidR="00700BCE" w:rsidRPr="00C77207">
              <w:rPr>
                <w:rFonts w:cstheme="minorHAnsi"/>
                <w:color w:val="000000" w:themeColor="text1"/>
                <w:lang w:val="de-DE"/>
              </w:rPr>
              <w:t xml:space="preserve"> sowie der Anstiftung oder Beihilfe zusammen. Bis auf einzelne spezielle Konstellationen ist </w:t>
            </w:r>
            <w:r w:rsidR="00962CF4" w:rsidRPr="00C77207">
              <w:rPr>
                <w:rFonts w:cstheme="minorHAnsi"/>
                <w:color w:val="000000" w:themeColor="text1"/>
                <w:lang w:val="de-DE"/>
              </w:rPr>
              <w:t>auch hier</w:t>
            </w:r>
            <w:r w:rsidR="00700BCE" w:rsidRPr="00C77207">
              <w:rPr>
                <w:rFonts w:cstheme="minorHAnsi"/>
                <w:color w:val="000000" w:themeColor="text1"/>
                <w:lang w:val="de-DE"/>
              </w:rPr>
              <w:t xml:space="preserve"> eine Strafbarkeit gegeben.</w:t>
            </w:r>
          </w:p>
          <w:p w14:paraId="2742D7D7" w14:textId="026DA787" w:rsidR="008E5A55" w:rsidRPr="00C77207" w:rsidRDefault="008E5A55" w:rsidP="008543B6">
            <w:pPr>
              <w:rPr>
                <w:rFonts w:cstheme="minorHAnsi"/>
                <w:color w:val="000000" w:themeColor="text1"/>
                <w:lang w:val="de-DE"/>
              </w:rPr>
            </w:pPr>
          </w:p>
        </w:tc>
      </w:tr>
      <w:tr w:rsidR="001C2BA0" w:rsidRPr="00F206A4" w14:paraId="2009375B" w14:textId="77777777" w:rsidTr="00A57D8B">
        <w:trPr>
          <w:trHeight w:val="557"/>
        </w:trPr>
        <w:tc>
          <w:tcPr>
            <w:tcW w:w="425" w:type="dxa"/>
          </w:tcPr>
          <w:p w14:paraId="3E2FA9E6" w14:textId="77777777" w:rsidR="001C2BA0" w:rsidRPr="008E5A55" w:rsidRDefault="001C2BA0" w:rsidP="001C2BA0">
            <w:pPr>
              <w:numPr>
                <w:ilvl w:val="0"/>
                <w:numId w:val="2"/>
              </w:numPr>
              <w:contextualSpacing/>
              <w:rPr>
                <w:rFonts w:ascii="Calibri" w:hAnsi="Calibri" w:cs="Calibri"/>
                <w:szCs w:val="28"/>
                <w:lang w:val="de-DE"/>
              </w:rPr>
            </w:pPr>
          </w:p>
        </w:tc>
        <w:tc>
          <w:tcPr>
            <w:tcW w:w="5387" w:type="dxa"/>
          </w:tcPr>
          <w:p w14:paraId="4595BD70" w14:textId="0EC1A4F1" w:rsidR="001C2BA0" w:rsidRPr="00E32B82" w:rsidRDefault="00E32B82" w:rsidP="001C2BA0">
            <w:pPr>
              <w:rPr>
                <w:rFonts w:ascii="Calibri" w:hAnsi="Calibri" w:cs="Calibri"/>
                <w:color w:val="000000" w:themeColor="text1"/>
                <w:highlight w:val="cyan"/>
                <w:lang w:val="de-DE"/>
              </w:rPr>
            </w:pPr>
            <w:r w:rsidRPr="00E32B82">
              <w:rPr>
                <w:rFonts w:ascii="Calibri" w:eastAsia="Calibri" w:hAnsi="Calibri" w:cs="Calibri"/>
                <w:color w:val="000000" w:themeColor="text1"/>
                <w:lang w:val="de-DE"/>
              </w:rPr>
              <w:t xml:space="preserve">Verhängung strengerer Strafen für </w:t>
            </w:r>
            <w:r w:rsidRPr="00E32B82">
              <w:rPr>
                <w:rFonts w:ascii="Calibri" w:eastAsia="Calibri" w:hAnsi="Calibri" w:cs="Calibri"/>
                <w:b/>
                <w:color w:val="000000" w:themeColor="text1"/>
                <w:lang w:val="de-DE"/>
              </w:rPr>
              <w:t>Rückfälle</w:t>
            </w:r>
            <w:r w:rsidRPr="00E32B82">
              <w:rPr>
                <w:rFonts w:ascii="Calibri" w:eastAsia="Calibri" w:hAnsi="Calibri" w:cs="Calibri"/>
                <w:color w:val="000000" w:themeColor="text1"/>
                <w:lang w:val="de-DE"/>
              </w:rPr>
              <w:t xml:space="preserve"> bei sexueller Ausbeutung von Kindern, z. B. durch Definition der Rückfälligkeit als erschwerender Umstand, unabhängig davon, ob die Straftaten im Ausland oder im Inland verübt wurden.</w:t>
            </w:r>
          </w:p>
        </w:tc>
        <w:tc>
          <w:tcPr>
            <w:tcW w:w="1701" w:type="dxa"/>
          </w:tcPr>
          <w:p w14:paraId="29071DEC" w14:textId="532B1CA3" w:rsidR="001C2BA0" w:rsidRDefault="00C55A34" w:rsidP="001C2BA0">
            <w:pPr>
              <w:rPr>
                <w:rFonts w:ascii="Calibri" w:hAnsi="Calibri" w:cs="Calibri"/>
                <w:bCs/>
                <w:color w:val="000000" w:themeColor="text1"/>
                <w:lang w:val="en-GB"/>
              </w:rPr>
            </w:pPr>
            <w:proofErr w:type="spellStart"/>
            <w:r>
              <w:rPr>
                <w:rFonts w:ascii="Calibri" w:hAnsi="Calibri" w:cs="Calibri"/>
                <w:bCs/>
                <w:color w:val="000000" w:themeColor="text1"/>
                <w:lang w:val="en-GB"/>
              </w:rPr>
              <w:t>Teilweise</w:t>
            </w:r>
            <w:proofErr w:type="spellEnd"/>
          </w:p>
          <w:p w14:paraId="3899D515" w14:textId="77777777" w:rsidR="00A40724" w:rsidRDefault="00A40724" w:rsidP="001C2BA0">
            <w:pPr>
              <w:rPr>
                <w:rFonts w:ascii="Calibri" w:hAnsi="Calibri" w:cs="Calibri"/>
                <w:bCs/>
                <w:color w:val="000000" w:themeColor="text1"/>
                <w:lang w:val="en-GB"/>
              </w:rPr>
            </w:pPr>
          </w:p>
          <w:p w14:paraId="1C914636" w14:textId="5C0C3E78" w:rsidR="00A40724" w:rsidRPr="00A57D8B" w:rsidRDefault="00A40724" w:rsidP="001C2BA0">
            <w:pPr>
              <w:rPr>
                <w:rFonts w:ascii="Calibri" w:hAnsi="Calibri" w:cs="Calibri"/>
                <w:bCs/>
                <w:color w:val="000000" w:themeColor="text1"/>
                <w:lang w:val="en-GB"/>
              </w:rPr>
            </w:pPr>
          </w:p>
        </w:tc>
        <w:tc>
          <w:tcPr>
            <w:tcW w:w="5523" w:type="dxa"/>
          </w:tcPr>
          <w:p w14:paraId="746918D5" w14:textId="629BDCBE" w:rsidR="00ED7E44" w:rsidRPr="00C77207" w:rsidRDefault="00A90262" w:rsidP="008543B6">
            <w:pPr>
              <w:rPr>
                <w:rFonts w:cstheme="minorHAnsi"/>
                <w:color w:val="000000" w:themeColor="text1"/>
                <w:lang w:val="de-DE"/>
              </w:rPr>
            </w:pPr>
            <w:r w:rsidRPr="00C77207">
              <w:rPr>
                <w:rFonts w:cstheme="minorHAnsi"/>
                <w:color w:val="000000" w:themeColor="text1"/>
                <w:lang w:val="de-DE"/>
              </w:rPr>
              <w:t xml:space="preserve">Für den sexuellen Missbrauch von Kindern ist gesetzlich ein straferhöhender schwerer Fall in § 176c StGB normiert. Dieser erhöht die Mindestfreiheitsstrafe auf </w:t>
            </w:r>
            <w:r w:rsidR="00B7671F" w:rsidRPr="00C77207">
              <w:rPr>
                <w:rFonts w:cstheme="minorHAnsi"/>
                <w:color w:val="000000" w:themeColor="text1"/>
                <w:lang w:val="de-DE"/>
              </w:rPr>
              <w:t>zwei</w:t>
            </w:r>
            <w:r w:rsidRPr="00C77207">
              <w:rPr>
                <w:rFonts w:cstheme="minorHAnsi"/>
                <w:color w:val="000000" w:themeColor="text1"/>
                <w:lang w:val="de-DE"/>
              </w:rPr>
              <w:t xml:space="preserve"> Jahre. </w:t>
            </w:r>
            <w:r w:rsidR="00157BBA" w:rsidRPr="00C77207">
              <w:rPr>
                <w:rFonts w:cstheme="minorHAnsi"/>
                <w:color w:val="000000" w:themeColor="text1"/>
                <w:lang w:val="de-DE"/>
              </w:rPr>
              <w:t xml:space="preserve">Wenn der Täter in den letzten </w:t>
            </w:r>
            <w:r w:rsidR="00B7671F" w:rsidRPr="00C77207">
              <w:rPr>
                <w:rFonts w:cstheme="minorHAnsi"/>
                <w:color w:val="000000" w:themeColor="text1"/>
                <w:lang w:val="de-DE"/>
              </w:rPr>
              <w:t>fünf</w:t>
            </w:r>
            <w:r w:rsidR="00157BBA" w:rsidRPr="00C77207">
              <w:rPr>
                <w:rFonts w:cstheme="minorHAnsi"/>
                <w:color w:val="000000" w:themeColor="text1"/>
                <w:lang w:val="de-DE"/>
              </w:rPr>
              <w:t xml:space="preserve"> Jahren </w:t>
            </w:r>
            <w:r w:rsidRPr="00C77207">
              <w:rPr>
                <w:rFonts w:cstheme="minorHAnsi"/>
                <w:color w:val="000000" w:themeColor="text1"/>
                <w:lang w:val="de-DE"/>
              </w:rPr>
              <w:t xml:space="preserve">bereits wegen eines sexuellen Missbrauchs von Kindern verurteilt wurde, liegt ein </w:t>
            </w:r>
            <w:r w:rsidR="00A40724" w:rsidRPr="00C77207">
              <w:rPr>
                <w:rFonts w:cstheme="minorHAnsi"/>
                <w:color w:val="000000" w:themeColor="text1"/>
                <w:lang w:val="de-DE"/>
              </w:rPr>
              <w:t xml:space="preserve">solcher </w:t>
            </w:r>
            <w:r w:rsidRPr="00C77207">
              <w:rPr>
                <w:rFonts w:cstheme="minorHAnsi"/>
                <w:color w:val="000000" w:themeColor="text1"/>
                <w:lang w:val="de-DE"/>
              </w:rPr>
              <w:t xml:space="preserve">schwerer Fall vor. </w:t>
            </w:r>
            <w:r w:rsidR="00137403" w:rsidRPr="00C77207">
              <w:rPr>
                <w:rFonts w:cstheme="minorHAnsi"/>
                <w:color w:val="000000" w:themeColor="text1"/>
                <w:lang w:val="de-DE"/>
              </w:rPr>
              <w:t xml:space="preserve">Der Täter muss </w:t>
            </w:r>
            <w:r w:rsidR="00395D50" w:rsidRPr="00C77207">
              <w:rPr>
                <w:rFonts w:cstheme="minorHAnsi"/>
                <w:color w:val="000000" w:themeColor="text1"/>
                <w:lang w:val="de-DE"/>
              </w:rPr>
              <w:t>s</w:t>
            </w:r>
            <w:r w:rsidR="00137403" w:rsidRPr="00C77207">
              <w:rPr>
                <w:rFonts w:cstheme="minorHAnsi"/>
                <w:color w:val="000000" w:themeColor="text1"/>
                <w:lang w:val="de-DE"/>
              </w:rPr>
              <w:t>ich demnach bereits zuvor einer Tat nach § 176 Abs. 1 oder Abs.</w:t>
            </w:r>
            <w:r w:rsidR="00B7671F" w:rsidRPr="00C77207">
              <w:rPr>
                <w:rFonts w:cstheme="minorHAnsi"/>
                <w:color w:val="000000" w:themeColor="text1"/>
                <w:lang w:val="de-DE"/>
              </w:rPr>
              <w:t xml:space="preserve"> </w:t>
            </w:r>
            <w:r w:rsidR="00137403" w:rsidRPr="00C77207">
              <w:rPr>
                <w:rFonts w:cstheme="minorHAnsi"/>
                <w:color w:val="000000" w:themeColor="text1"/>
                <w:lang w:val="de-DE"/>
              </w:rPr>
              <w:t>2 StGB schuldig gemacht haben. Ob er bei dieser Vortat Täter oder nur Teilnehmer war</w:t>
            </w:r>
            <w:r w:rsidR="00A40724" w:rsidRPr="00C77207">
              <w:rPr>
                <w:rFonts w:cstheme="minorHAnsi"/>
                <w:color w:val="000000" w:themeColor="text1"/>
                <w:lang w:val="de-DE"/>
              </w:rPr>
              <w:t>,</w:t>
            </w:r>
            <w:r w:rsidR="00137403" w:rsidRPr="00C77207">
              <w:rPr>
                <w:rFonts w:cstheme="minorHAnsi"/>
                <w:color w:val="000000" w:themeColor="text1"/>
                <w:lang w:val="de-DE"/>
              </w:rPr>
              <w:t xml:space="preserve"> ist unerheblich.</w:t>
            </w:r>
            <w:r w:rsidR="00137403" w:rsidRPr="00C77207">
              <w:rPr>
                <w:rStyle w:val="FootnoteReference"/>
                <w:rFonts w:cstheme="minorHAnsi"/>
                <w:color w:val="000000" w:themeColor="text1"/>
                <w:lang w:val="de-DE"/>
              </w:rPr>
              <w:footnoteReference w:id="17"/>
            </w:r>
            <w:r w:rsidR="00137403" w:rsidRPr="00C77207">
              <w:rPr>
                <w:rFonts w:cstheme="minorHAnsi"/>
                <w:color w:val="000000" w:themeColor="text1"/>
                <w:lang w:val="de-DE"/>
              </w:rPr>
              <w:t xml:space="preserve"> </w:t>
            </w:r>
            <w:r w:rsidRPr="00C77207">
              <w:rPr>
                <w:rFonts w:cstheme="minorHAnsi"/>
                <w:color w:val="000000" w:themeColor="text1"/>
                <w:lang w:val="de-DE"/>
              </w:rPr>
              <w:t>Zudem wird die Zeit, welche der Täter auf behördliche Anordnung in einer Anstalt war, nach Abs.</w:t>
            </w:r>
            <w:r w:rsidR="00B7671F" w:rsidRPr="00C77207">
              <w:rPr>
                <w:rFonts w:cstheme="minorHAnsi"/>
                <w:color w:val="000000" w:themeColor="text1"/>
                <w:lang w:val="de-DE"/>
              </w:rPr>
              <w:t xml:space="preserve"> </w:t>
            </w:r>
            <w:r w:rsidRPr="00C77207">
              <w:rPr>
                <w:rFonts w:cstheme="minorHAnsi"/>
                <w:color w:val="000000" w:themeColor="text1"/>
                <w:lang w:val="de-DE"/>
              </w:rPr>
              <w:t xml:space="preserve">4 nicht angerechnet und auch </w:t>
            </w:r>
            <w:r w:rsidR="00ED7E44" w:rsidRPr="00C77207">
              <w:rPr>
                <w:rFonts w:cstheme="minorHAnsi"/>
                <w:color w:val="000000" w:themeColor="text1"/>
                <w:lang w:val="de-DE"/>
              </w:rPr>
              <w:t>eine Aburteilung im Ausland steht</w:t>
            </w:r>
            <w:r w:rsidR="00395D50" w:rsidRPr="00C77207">
              <w:rPr>
                <w:rFonts w:cstheme="minorHAnsi"/>
                <w:color w:val="000000" w:themeColor="text1"/>
                <w:lang w:val="de-DE"/>
              </w:rPr>
              <w:t xml:space="preserve"> nach Abs. 6</w:t>
            </w:r>
            <w:r w:rsidR="00ED7E44" w:rsidRPr="00C77207">
              <w:rPr>
                <w:rFonts w:cstheme="minorHAnsi"/>
                <w:color w:val="000000" w:themeColor="text1"/>
                <w:lang w:val="de-DE"/>
              </w:rPr>
              <w:t xml:space="preserve"> einer in Deutschland gleich, sofern die Tat auch nach deutschem Recht strafbar wäre.</w:t>
            </w:r>
          </w:p>
          <w:p w14:paraId="0BBE5681" w14:textId="08A9C7F8" w:rsidR="00ED7E44" w:rsidRPr="00C77207" w:rsidRDefault="00ED7E44" w:rsidP="008543B6">
            <w:pPr>
              <w:rPr>
                <w:rFonts w:cstheme="minorHAnsi"/>
                <w:color w:val="000000" w:themeColor="text1"/>
                <w:lang w:val="de-DE"/>
              </w:rPr>
            </w:pPr>
          </w:p>
        </w:tc>
      </w:tr>
      <w:tr w:rsidR="001C2BA0" w:rsidRPr="00F206A4" w14:paraId="0CDE7801" w14:textId="77777777" w:rsidTr="00A57D8B">
        <w:trPr>
          <w:trHeight w:val="1552"/>
        </w:trPr>
        <w:tc>
          <w:tcPr>
            <w:tcW w:w="425" w:type="dxa"/>
          </w:tcPr>
          <w:p w14:paraId="1C9D6325" w14:textId="77777777" w:rsidR="001C2BA0" w:rsidRPr="00157BBA" w:rsidRDefault="001C2BA0" w:rsidP="001C2BA0">
            <w:pPr>
              <w:numPr>
                <w:ilvl w:val="0"/>
                <w:numId w:val="2"/>
              </w:numPr>
              <w:contextualSpacing/>
              <w:rPr>
                <w:rFonts w:ascii="Calibri" w:hAnsi="Calibri" w:cs="Calibri"/>
                <w:szCs w:val="28"/>
                <w:lang w:val="de-DE"/>
              </w:rPr>
            </w:pPr>
          </w:p>
        </w:tc>
        <w:tc>
          <w:tcPr>
            <w:tcW w:w="5387" w:type="dxa"/>
          </w:tcPr>
          <w:p w14:paraId="5CF1480C" w14:textId="7B4D3C2E" w:rsidR="001C2BA0" w:rsidRPr="009137CF" w:rsidRDefault="009137CF" w:rsidP="001C2BA0">
            <w:pPr>
              <w:rPr>
                <w:rFonts w:ascii="Calibri" w:hAnsi="Calibri" w:cs="Calibri"/>
                <w:color w:val="000000" w:themeColor="text1"/>
                <w:highlight w:val="cyan"/>
                <w:lang w:val="de-DE"/>
              </w:rPr>
            </w:pPr>
            <w:r>
              <w:rPr>
                <w:rFonts w:ascii="Calibri" w:eastAsia="Calibri" w:hAnsi="Calibri" w:cs="Calibri"/>
                <w:b/>
                <w:color w:val="000000" w:themeColor="text1"/>
                <w:lang w:val="de-DE"/>
              </w:rPr>
              <w:t xml:space="preserve">Anzeigepflicht </w:t>
            </w:r>
            <w:r w:rsidR="007F0D8E" w:rsidRPr="007F0D8E">
              <w:rPr>
                <w:rFonts w:ascii="Calibri" w:eastAsia="Calibri" w:hAnsi="Calibri" w:cs="Calibri"/>
                <w:color w:val="000000" w:themeColor="text1"/>
                <w:lang w:val="de-DE"/>
              </w:rPr>
              <w:t>für bestimmte Berufe</w:t>
            </w:r>
            <w:r w:rsidR="007F0D8E">
              <w:rPr>
                <w:rFonts w:ascii="Calibri" w:eastAsia="Calibri" w:hAnsi="Calibri" w:cs="Calibri"/>
                <w:color w:val="000000" w:themeColor="text1"/>
                <w:lang w:val="de-DE"/>
              </w:rPr>
              <w:t xml:space="preserve">, </w:t>
            </w:r>
            <w:r w:rsidRPr="009137CF">
              <w:rPr>
                <w:rFonts w:ascii="Calibri" w:eastAsia="Calibri" w:hAnsi="Calibri" w:cs="Calibri"/>
                <w:color w:val="000000" w:themeColor="text1"/>
                <w:lang w:val="de-DE"/>
              </w:rPr>
              <w:t xml:space="preserve">bei denen die Wahrscheinlichkeit besteht, dass sie mit Kindern in Kontakt kommen, die sich ihnen gegenüber </w:t>
            </w:r>
            <w:r w:rsidR="004752A3">
              <w:rPr>
                <w:rFonts w:ascii="Calibri" w:eastAsia="Calibri" w:hAnsi="Calibri" w:cs="Calibri"/>
                <w:color w:val="000000" w:themeColor="text1"/>
                <w:lang w:val="de-DE"/>
              </w:rPr>
              <w:t xml:space="preserve">in Bezug auf sexuelle Ausbeutung </w:t>
            </w:r>
            <w:r w:rsidRPr="009137CF">
              <w:rPr>
                <w:rFonts w:ascii="Calibri" w:eastAsia="Calibri" w:hAnsi="Calibri" w:cs="Calibri"/>
                <w:color w:val="000000" w:themeColor="text1"/>
                <w:lang w:val="de-DE"/>
              </w:rPr>
              <w:t>mitteilen könnten.</w:t>
            </w:r>
          </w:p>
        </w:tc>
        <w:tc>
          <w:tcPr>
            <w:tcW w:w="1701" w:type="dxa"/>
          </w:tcPr>
          <w:p w14:paraId="2F65EABF" w14:textId="7DAF2392" w:rsidR="001C2BA0" w:rsidRPr="00A57D8B" w:rsidRDefault="004575C7" w:rsidP="001C2BA0">
            <w:pPr>
              <w:rPr>
                <w:rFonts w:ascii="Calibri" w:hAnsi="Calibri" w:cs="Calibri"/>
                <w:bCs/>
                <w:color w:val="000000" w:themeColor="text1"/>
                <w:lang w:val="en-GB"/>
              </w:rPr>
            </w:pPr>
            <w:r>
              <w:rPr>
                <w:rFonts w:ascii="Calibri" w:hAnsi="Calibri" w:cs="Calibri"/>
                <w:bCs/>
                <w:color w:val="000000" w:themeColor="text1"/>
                <w:lang w:val="en-GB"/>
              </w:rPr>
              <w:t>N</w:t>
            </w:r>
            <w:r w:rsidR="00C55A34">
              <w:rPr>
                <w:rFonts w:ascii="Calibri" w:hAnsi="Calibri" w:cs="Calibri"/>
                <w:bCs/>
                <w:color w:val="000000" w:themeColor="text1"/>
                <w:lang w:val="en-GB"/>
              </w:rPr>
              <w:t>ein</w:t>
            </w:r>
          </w:p>
        </w:tc>
        <w:tc>
          <w:tcPr>
            <w:tcW w:w="5523" w:type="dxa"/>
          </w:tcPr>
          <w:p w14:paraId="62806C95" w14:textId="75F9C67A" w:rsidR="00EC5BF6" w:rsidRPr="00C77207" w:rsidRDefault="00EC5BF6" w:rsidP="008543B6">
            <w:pPr>
              <w:rPr>
                <w:rFonts w:cstheme="minorHAnsi"/>
                <w:color w:val="000000" w:themeColor="text1"/>
                <w:lang w:val="de-DE"/>
              </w:rPr>
            </w:pPr>
            <w:r w:rsidRPr="00C77207">
              <w:rPr>
                <w:rFonts w:cstheme="minorHAnsi"/>
                <w:color w:val="000000" w:themeColor="text1"/>
                <w:lang w:val="de-DE"/>
              </w:rPr>
              <w:t xml:space="preserve">Eine allgemeine Anzeigepflicht besteht in Deutschland nicht. Weder für Privatpersonen noch </w:t>
            </w:r>
            <w:r w:rsidR="009137CF">
              <w:rPr>
                <w:rFonts w:cstheme="minorHAnsi"/>
                <w:color w:val="000000" w:themeColor="text1"/>
                <w:lang w:val="de-DE"/>
              </w:rPr>
              <w:t xml:space="preserve">für </w:t>
            </w:r>
            <w:r w:rsidRPr="00C77207">
              <w:rPr>
                <w:rFonts w:cstheme="minorHAnsi"/>
                <w:color w:val="000000" w:themeColor="text1"/>
                <w:lang w:val="de-DE"/>
              </w:rPr>
              <w:t>Institutionen.</w:t>
            </w:r>
          </w:p>
          <w:p w14:paraId="07A7321F" w14:textId="2E63D5F8" w:rsidR="004575C7" w:rsidRPr="00C77207" w:rsidRDefault="004575C7" w:rsidP="008543B6">
            <w:pPr>
              <w:rPr>
                <w:rFonts w:cstheme="minorHAnsi"/>
                <w:color w:val="000000" w:themeColor="text1"/>
                <w:lang w:val="de-DE"/>
              </w:rPr>
            </w:pPr>
            <w:r w:rsidRPr="00C77207">
              <w:rPr>
                <w:rFonts w:cstheme="minorHAnsi"/>
                <w:color w:val="000000" w:themeColor="text1"/>
                <w:lang w:val="de-DE"/>
              </w:rPr>
              <w:t>Institutionen können sich intern selbst verpflichten.</w:t>
            </w:r>
            <w:r w:rsidR="00B237BB" w:rsidRPr="00C77207">
              <w:rPr>
                <w:rFonts w:cstheme="minorHAnsi"/>
                <w:color w:val="000000" w:themeColor="text1"/>
                <w:lang w:val="de-DE"/>
              </w:rPr>
              <w:t xml:space="preserve"> Hierzu bestehen vom Bundesministerium der Justiz Leitlinien dazu, was in einem Verdachtsfall zu tun ist.</w:t>
            </w:r>
            <w:r w:rsidR="00B237BB" w:rsidRPr="00C77207">
              <w:rPr>
                <w:rStyle w:val="FootnoteReference"/>
                <w:rFonts w:cstheme="minorHAnsi"/>
                <w:color w:val="000000" w:themeColor="text1"/>
                <w:lang w:val="de-DE"/>
              </w:rPr>
              <w:footnoteReference w:id="18"/>
            </w:r>
            <w:r w:rsidR="00B237BB" w:rsidRPr="00C77207">
              <w:rPr>
                <w:rFonts w:cstheme="minorHAnsi"/>
                <w:color w:val="000000" w:themeColor="text1"/>
                <w:lang w:val="de-DE"/>
              </w:rPr>
              <w:t xml:space="preserve"> Diese sind jedoch nicht rechtsbindend.</w:t>
            </w:r>
          </w:p>
          <w:p w14:paraId="4100B44B" w14:textId="53118340" w:rsidR="00B4581C" w:rsidRPr="00C77207" w:rsidRDefault="00B4581C" w:rsidP="008543B6">
            <w:pPr>
              <w:rPr>
                <w:rFonts w:cstheme="minorHAnsi"/>
                <w:color w:val="000000" w:themeColor="text1"/>
                <w:lang w:val="de-DE"/>
              </w:rPr>
            </w:pPr>
          </w:p>
          <w:p w14:paraId="61E51E91" w14:textId="342C2275" w:rsidR="00B4581C" w:rsidRPr="00C77207" w:rsidRDefault="00B4581C" w:rsidP="008543B6">
            <w:pPr>
              <w:rPr>
                <w:rFonts w:cstheme="minorHAnsi"/>
                <w:color w:val="000000" w:themeColor="text1"/>
                <w:lang w:val="de-DE"/>
              </w:rPr>
            </w:pPr>
            <w:r w:rsidRPr="00C77207">
              <w:rPr>
                <w:rFonts w:cstheme="minorHAnsi"/>
                <w:color w:val="000000" w:themeColor="text1"/>
                <w:lang w:val="de-DE"/>
              </w:rPr>
              <w:t xml:space="preserve">Eine </w:t>
            </w:r>
            <w:r w:rsidR="001B369D" w:rsidRPr="00C77207">
              <w:rPr>
                <w:rFonts w:cstheme="minorHAnsi"/>
                <w:color w:val="000000" w:themeColor="text1"/>
                <w:lang w:val="de-DE"/>
              </w:rPr>
              <w:t xml:space="preserve">Anzeigepflicht, deren Verletzung mit Strafe bedroht wird, besteht jedoch für den Menschenhandel mit Gewalt oder durch Drohung mit einem empfindlichen Übel oder </w:t>
            </w:r>
            <w:r w:rsidR="001B369D" w:rsidRPr="00C77207">
              <w:rPr>
                <w:rFonts w:cstheme="minorHAnsi"/>
                <w:color w:val="000000" w:themeColor="text1"/>
                <w:lang w:val="de-DE"/>
              </w:rPr>
              <w:lastRenderedPageBreak/>
              <w:t xml:space="preserve">List oder Entführung Minderjähriger. </w:t>
            </w:r>
            <w:r w:rsidR="009C5EB7" w:rsidRPr="00C77207">
              <w:rPr>
                <w:rFonts w:cstheme="minorHAnsi"/>
                <w:color w:val="000000" w:themeColor="text1"/>
                <w:lang w:val="de-DE"/>
              </w:rPr>
              <w:t>Weiterhin b</w:t>
            </w:r>
            <w:r w:rsidR="001B369D" w:rsidRPr="00C77207">
              <w:rPr>
                <w:rFonts w:cstheme="minorHAnsi"/>
                <w:color w:val="000000" w:themeColor="text1"/>
                <w:lang w:val="de-DE"/>
              </w:rPr>
              <w:t xml:space="preserve">esteht eine Anzeigepflicht bei der </w:t>
            </w:r>
            <w:r w:rsidR="004D039F" w:rsidRPr="00C77207">
              <w:rPr>
                <w:rFonts w:cstheme="minorHAnsi"/>
                <w:color w:val="000000" w:themeColor="text1"/>
                <w:lang w:val="de-DE"/>
              </w:rPr>
              <w:t xml:space="preserve">Ausbeutung in Form der </w:t>
            </w:r>
            <w:r w:rsidR="001B369D" w:rsidRPr="00C77207">
              <w:rPr>
                <w:rFonts w:cstheme="minorHAnsi"/>
                <w:color w:val="000000" w:themeColor="text1"/>
                <w:lang w:val="de-DE"/>
              </w:rPr>
              <w:t xml:space="preserve">Zwangsprostitution </w:t>
            </w:r>
            <w:r w:rsidR="004D039F" w:rsidRPr="00C77207">
              <w:rPr>
                <w:rFonts w:cstheme="minorHAnsi"/>
                <w:color w:val="000000" w:themeColor="text1"/>
                <w:lang w:val="de-DE"/>
              </w:rPr>
              <w:t xml:space="preserve">Minderjähriger. Diese Pflichten ergeben sich aus § 138 StGB und bestehen dann, wenn von den Vorhaben erfahren wird und zu dem Zeitpunkt die Ausführung noch abgewendet werden kann. </w:t>
            </w:r>
          </w:p>
          <w:p w14:paraId="06B1EBB6" w14:textId="0253C0DD" w:rsidR="004D039F" w:rsidRPr="00C77207" w:rsidRDefault="004D039F" w:rsidP="008543B6">
            <w:pPr>
              <w:rPr>
                <w:rFonts w:cstheme="minorHAnsi"/>
                <w:color w:val="000000" w:themeColor="text1"/>
                <w:lang w:val="de-DE"/>
              </w:rPr>
            </w:pPr>
            <w:r w:rsidRPr="00C77207">
              <w:rPr>
                <w:rFonts w:cstheme="minorHAnsi"/>
                <w:color w:val="000000" w:themeColor="text1"/>
                <w:lang w:val="de-DE"/>
              </w:rPr>
              <w:t xml:space="preserve">Nach § 139 StGB sind von dieser Pflicht </w:t>
            </w:r>
            <w:r w:rsidR="009C5EB7" w:rsidRPr="00C77207">
              <w:rPr>
                <w:rFonts w:cstheme="minorHAnsi"/>
                <w:color w:val="000000" w:themeColor="text1"/>
                <w:lang w:val="de-DE"/>
              </w:rPr>
              <w:t>einige Berufsgruppen ausgenommen, wenn sie sich ernsthaft bemüht haben, den Täter von seinem Vorhaben abzuhalten. Hierunter fallen z.B. Rechtsanwält</w:t>
            </w:r>
            <w:r w:rsidR="001B4F4F">
              <w:rPr>
                <w:rFonts w:cstheme="minorHAnsi"/>
                <w:color w:val="000000" w:themeColor="text1"/>
                <w:lang w:val="de-DE"/>
              </w:rPr>
              <w:t>e</w:t>
            </w:r>
            <w:r w:rsidR="009C5EB7" w:rsidRPr="00C77207">
              <w:rPr>
                <w:rFonts w:cstheme="minorHAnsi"/>
                <w:color w:val="000000" w:themeColor="text1"/>
                <w:lang w:val="de-DE"/>
              </w:rPr>
              <w:t>, Geistliche, Ärzt</w:t>
            </w:r>
            <w:r w:rsidR="001B4F4F">
              <w:rPr>
                <w:rFonts w:cstheme="minorHAnsi"/>
                <w:color w:val="000000" w:themeColor="text1"/>
                <w:lang w:val="de-DE"/>
              </w:rPr>
              <w:t>e</w:t>
            </w:r>
            <w:r w:rsidR="009C5EB7" w:rsidRPr="00C77207">
              <w:rPr>
                <w:rFonts w:cstheme="minorHAnsi"/>
                <w:color w:val="000000" w:themeColor="text1"/>
                <w:lang w:val="de-DE"/>
              </w:rPr>
              <w:t xml:space="preserve"> und Therapeut</w:t>
            </w:r>
            <w:r w:rsidR="001B4F4F">
              <w:rPr>
                <w:rFonts w:cstheme="minorHAnsi"/>
                <w:color w:val="000000" w:themeColor="text1"/>
                <w:lang w:val="de-DE"/>
              </w:rPr>
              <w:t>en</w:t>
            </w:r>
            <w:r w:rsidR="009C5EB7" w:rsidRPr="00C77207">
              <w:rPr>
                <w:rFonts w:cstheme="minorHAnsi"/>
                <w:color w:val="000000" w:themeColor="text1"/>
                <w:lang w:val="de-DE"/>
              </w:rPr>
              <w:t>.</w:t>
            </w:r>
          </w:p>
          <w:p w14:paraId="6E4B91D1" w14:textId="77777777" w:rsidR="00EC5BF6" w:rsidRPr="00C77207" w:rsidRDefault="00EC5BF6" w:rsidP="008543B6">
            <w:pPr>
              <w:rPr>
                <w:rFonts w:cstheme="minorHAnsi"/>
                <w:color w:val="000000" w:themeColor="text1"/>
                <w:lang w:val="de-DE"/>
              </w:rPr>
            </w:pPr>
          </w:p>
          <w:p w14:paraId="3B9C1D36" w14:textId="4B5923E9" w:rsidR="00EC5BF6" w:rsidRPr="00C77207" w:rsidRDefault="00EC5BF6" w:rsidP="008543B6">
            <w:pPr>
              <w:rPr>
                <w:rFonts w:cstheme="minorHAnsi"/>
                <w:color w:val="000000" w:themeColor="text1"/>
                <w:lang w:val="de-DE"/>
              </w:rPr>
            </w:pPr>
            <w:r w:rsidRPr="00C77207">
              <w:rPr>
                <w:rFonts w:cstheme="minorHAnsi"/>
                <w:color w:val="000000" w:themeColor="text1"/>
                <w:lang w:val="de-DE"/>
              </w:rPr>
              <w:t xml:space="preserve">Strafrechtlich relevant können </w:t>
            </w:r>
            <w:r w:rsidR="004D039F" w:rsidRPr="00C77207">
              <w:rPr>
                <w:rFonts w:cstheme="minorHAnsi"/>
                <w:color w:val="000000" w:themeColor="text1"/>
                <w:lang w:val="de-DE"/>
              </w:rPr>
              <w:t xml:space="preserve">generell </w:t>
            </w:r>
            <w:r w:rsidR="00B4581C" w:rsidRPr="00C77207">
              <w:rPr>
                <w:rFonts w:cstheme="minorHAnsi"/>
                <w:color w:val="000000" w:themeColor="text1"/>
                <w:lang w:val="de-DE"/>
              </w:rPr>
              <w:t>noch</w:t>
            </w:r>
            <w:r w:rsidRPr="00C77207">
              <w:rPr>
                <w:rFonts w:cstheme="minorHAnsi"/>
                <w:color w:val="000000" w:themeColor="text1"/>
                <w:lang w:val="de-DE"/>
              </w:rPr>
              <w:t xml:space="preserve"> die unterlassene Hilfeleistung nach § 323c StGB</w:t>
            </w:r>
            <w:r w:rsidR="00596A4B" w:rsidRPr="00C77207">
              <w:rPr>
                <w:rFonts w:cstheme="minorHAnsi"/>
                <w:color w:val="000000" w:themeColor="text1"/>
                <w:lang w:val="de-DE"/>
              </w:rPr>
              <w:t xml:space="preserve"> oder bei besonderer Beziehung zu dem Kind oder Jugendliche</w:t>
            </w:r>
            <w:r w:rsidR="004D039F" w:rsidRPr="00C77207">
              <w:rPr>
                <w:rFonts w:cstheme="minorHAnsi"/>
                <w:color w:val="000000" w:themeColor="text1"/>
                <w:lang w:val="de-DE"/>
              </w:rPr>
              <w:t>n</w:t>
            </w:r>
            <w:r w:rsidR="00596A4B" w:rsidRPr="00C77207">
              <w:rPr>
                <w:rFonts w:cstheme="minorHAnsi"/>
                <w:color w:val="000000" w:themeColor="text1"/>
                <w:lang w:val="de-DE"/>
              </w:rPr>
              <w:t xml:space="preserve"> (sog. Garantenstellung), wie sie bei Erziehungsberechtigten, Lehrer</w:t>
            </w:r>
            <w:r w:rsidR="001B4F4F">
              <w:rPr>
                <w:rFonts w:cstheme="minorHAnsi"/>
                <w:color w:val="000000" w:themeColor="text1"/>
                <w:lang w:val="de-DE"/>
              </w:rPr>
              <w:t>n</w:t>
            </w:r>
            <w:r w:rsidR="00596A4B" w:rsidRPr="00C77207">
              <w:rPr>
                <w:rFonts w:cstheme="minorHAnsi"/>
                <w:color w:val="000000" w:themeColor="text1"/>
                <w:lang w:val="de-DE"/>
              </w:rPr>
              <w:t>, Traine</w:t>
            </w:r>
            <w:r w:rsidR="001B4F4F">
              <w:rPr>
                <w:rFonts w:cstheme="minorHAnsi"/>
                <w:color w:val="000000" w:themeColor="text1"/>
                <w:lang w:val="de-DE"/>
              </w:rPr>
              <w:t>rn</w:t>
            </w:r>
            <w:r w:rsidR="00596A4B" w:rsidRPr="00C77207">
              <w:rPr>
                <w:rFonts w:cstheme="minorHAnsi"/>
                <w:color w:val="000000" w:themeColor="text1"/>
                <w:lang w:val="de-DE"/>
              </w:rPr>
              <w:t xml:space="preserve"> usw. vorliegt, eine Unterlassungsstrafbarkeit </w:t>
            </w:r>
            <w:r w:rsidR="004D039F" w:rsidRPr="00C77207">
              <w:rPr>
                <w:rFonts w:cstheme="minorHAnsi"/>
                <w:color w:val="000000" w:themeColor="text1"/>
                <w:lang w:val="de-DE"/>
              </w:rPr>
              <w:t xml:space="preserve">der Gefahrenabwendung </w:t>
            </w:r>
            <w:r w:rsidR="00596A4B" w:rsidRPr="00C77207">
              <w:rPr>
                <w:rFonts w:cstheme="minorHAnsi"/>
                <w:color w:val="000000" w:themeColor="text1"/>
                <w:lang w:val="de-DE"/>
              </w:rPr>
              <w:t xml:space="preserve">werden. </w:t>
            </w:r>
            <w:r w:rsidR="004D039F" w:rsidRPr="00C77207">
              <w:rPr>
                <w:rFonts w:cstheme="minorHAnsi"/>
                <w:color w:val="000000" w:themeColor="text1"/>
                <w:lang w:val="de-DE"/>
              </w:rPr>
              <w:br/>
            </w:r>
            <w:r w:rsidR="00596A4B" w:rsidRPr="00C77207">
              <w:rPr>
                <w:rFonts w:cstheme="minorHAnsi"/>
                <w:color w:val="000000" w:themeColor="text1"/>
                <w:lang w:val="de-DE"/>
              </w:rPr>
              <w:t xml:space="preserve">Hier ist jedoch zur Abwendung der </w:t>
            </w:r>
            <w:r w:rsidR="004D039F" w:rsidRPr="00C77207">
              <w:rPr>
                <w:rFonts w:cstheme="minorHAnsi"/>
                <w:color w:val="000000" w:themeColor="text1"/>
                <w:lang w:val="de-DE"/>
              </w:rPr>
              <w:t xml:space="preserve">eigenen </w:t>
            </w:r>
            <w:r w:rsidR="00596A4B" w:rsidRPr="00C77207">
              <w:rPr>
                <w:rFonts w:cstheme="minorHAnsi"/>
                <w:color w:val="000000" w:themeColor="text1"/>
                <w:lang w:val="de-DE"/>
              </w:rPr>
              <w:t>Strafbarkeit nicht zwingend eine Anzeige erforderlich, eine andere die Gefahr abwendende Handlung würde ebenfalls genügen.</w:t>
            </w:r>
          </w:p>
          <w:p w14:paraId="2BD7B243" w14:textId="178099E1" w:rsidR="004D039F" w:rsidRPr="00C77207" w:rsidRDefault="004D039F" w:rsidP="008543B6">
            <w:pPr>
              <w:rPr>
                <w:rFonts w:cstheme="minorHAnsi"/>
                <w:color w:val="000000" w:themeColor="text1"/>
                <w:lang w:val="de-DE"/>
              </w:rPr>
            </w:pPr>
          </w:p>
        </w:tc>
      </w:tr>
      <w:tr w:rsidR="001C2BA0" w:rsidRPr="00F206A4" w14:paraId="52D6015C" w14:textId="77777777" w:rsidTr="00A57D8B">
        <w:trPr>
          <w:trHeight w:val="864"/>
        </w:trPr>
        <w:tc>
          <w:tcPr>
            <w:tcW w:w="425" w:type="dxa"/>
          </w:tcPr>
          <w:p w14:paraId="4DAE72AA" w14:textId="77777777" w:rsidR="001C2BA0" w:rsidRPr="00EC5BF6" w:rsidRDefault="001C2BA0" w:rsidP="001C2BA0">
            <w:pPr>
              <w:numPr>
                <w:ilvl w:val="0"/>
                <w:numId w:val="2"/>
              </w:numPr>
              <w:contextualSpacing/>
              <w:rPr>
                <w:rFonts w:ascii="Calibri" w:hAnsi="Calibri" w:cs="Calibri"/>
                <w:szCs w:val="28"/>
                <w:lang w:val="de-DE"/>
              </w:rPr>
            </w:pPr>
          </w:p>
        </w:tc>
        <w:tc>
          <w:tcPr>
            <w:tcW w:w="5387" w:type="dxa"/>
          </w:tcPr>
          <w:p w14:paraId="3871B55B" w14:textId="3228F867" w:rsidR="001C2BA0" w:rsidRPr="009137CF" w:rsidRDefault="009137CF" w:rsidP="001C2BA0">
            <w:pPr>
              <w:rPr>
                <w:rFonts w:ascii="Calibri" w:hAnsi="Calibri" w:cs="Calibri"/>
                <w:color w:val="000000" w:themeColor="text1"/>
                <w:highlight w:val="cyan"/>
                <w:lang w:val="de-DE"/>
              </w:rPr>
            </w:pPr>
            <w:r w:rsidRPr="009137CF">
              <w:rPr>
                <w:rFonts w:ascii="Calibri" w:eastAsia="Calibri" w:hAnsi="Calibri" w:cs="Calibri"/>
                <w:color w:val="000000" w:themeColor="text1"/>
                <w:lang w:val="de-DE"/>
              </w:rPr>
              <w:t xml:space="preserve">Festlegung verbindlicher, staatlich geregelter Kinderschutzstandards für die Tourismusbranche, z. B. durch Übertragung der Verantwortung an eine geeignete Regulierungsbehörde und/oder Einführung branchenspezifischer </w:t>
            </w:r>
            <w:r w:rsidRPr="009137CF">
              <w:rPr>
                <w:rFonts w:ascii="Calibri" w:eastAsia="Calibri" w:hAnsi="Calibri" w:cs="Calibri"/>
                <w:b/>
                <w:color w:val="000000" w:themeColor="text1"/>
                <w:lang w:val="de-DE"/>
              </w:rPr>
              <w:t xml:space="preserve">nationaler </w:t>
            </w:r>
            <w:r w:rsidR="00FF033B">
              <w:rPr>
                <w:rFonts w:ascii="Calibri" w:eastAsia="Calibri" w:hAnsi="Calibri" w:cs="Calibri"/>
                <w:b/>
                <w:color w:val="000000" w:themeColor="text1"/>
                <w:lang w:val="de-DE"/>
              </w:rPr>
              <w:t>Kinderschutz</w:t>
            </w:r>
            <w:r w:rsidR="00794D1E">
              <w:rPr>
                <w:rFonts w:ascii="Calibri" w:eastAsia="Calibri" w:hAnsi="Calibri" w:cs="Calibri"/>
                <w:b/>
                <w:color w:val="000000" w:themeColor="text1"/>
                <w:lang w:val="de-DE"/>
              </w:rPr>
              <w:t xml:space="preserve">-Standards </w:t>
            </w:r>
            <w:r w:rsidRPr="009137CF">
              <w:rPr>
                <w:rFonts w:ascii="Calibri" w:eastAsia="Calibri" w:hAnsi="Calibri" w:cs="Calibri"/>
                <w:color w:val="000000" w:themeColor="text1"/>
                <w:lang w:val="de-DE"/>
              </w:rPr>
              <w:t xml:space="preserve">als gesetzliche </w:t>
            </w:r>
            <w:r w:rsidR="00794D1E">
              <w:rPr>
                <w:rFonts w:ascii="Calibri" w:eastAsia="Calibri" w:hAnsi="Calibri" w:cs="Calibri"/>
                <w:color w:val="000000" w:themeColor="text1"/>
                <w:lang w:val="de-DE"/>
              </w:rPr>
              <w:t xml:space="preserve">Vorgabe für die </w:t>
            </w:r>
            <w:r w:rsidRPr="009137CF">
              <w:rPr>
                <w:rFonts w:ascii="Calibri" w:eastAsia="Calibri" w:hAnsi="Calibri" w:cs="Calibri"/>
                <w:color w:val="000000" w:themeColor="text1"/>
                <w:lang w:val="de-DE"/>
              </w:rPr>
              <w:t>Reise- und Tourismusbranche.</w:t>
            </w:r>
          </w:p>
        </w:tc>
        <w:tc>
          <w:tcPr>
            <w:tcW w:w="1701" w:type="dxa"/>
          </w:tcPr>
          <w:p w14:paraId="7FBF4CEC" w14:textId="6ED0E291" w:rsidR="001C2BA0" w:rsidRPr="00FA6798" w:rsidRDefault="00C55A34" w:rsidP="001C2BA0">
            <w:pPr>
              <w:rPr>
                <w:rFonts w:ascii="Calibri" w:hAnsi="Calibri" w:cs="Calibri"/>
                <w:bCs/>
                <w:color w:val="000000" w:themeColor="text1"/>
                <w:lang w:val="de-DE"/>
              </w:rPr>
            </w:pPr>
            <w:r>
              <w:rPr>
                <w:rFonts w:ascii="Calibri" w:hAnsi="Calibri" w:cs="Calibri"/>
                <w:bCs/>
                <w:color w:val="000000" w:themeColor="text1"/>
                <w:lang w:val="de-DE"/>
              </w:rPr>
              <w:t>Teilweise</w:t>
            </w:r>
          </w:p>
          <w:p w14:paraId="6597613E" w14:textId="77777777" w:rsidR="0025718B" w:rsidRPr="00FA6798" w:rsidRDefault="0025718B" w:rsidP="001C2BA0">
            <w:pPr>
              <w:rPr>
                <w:rFonts w:ascii="Calibri" w:hAnsi="Calibri" w:cs="Calibri"/>
                <w:bCs/>
                <w:color w:val="000000" w:themeColor="text1"/>
                <w:lang w:val="de-DE"/>
              </w:rPr>
            </w:pPr>
          </w:p>
          <w:p w14:paraId="7D47367A" w14:textId="4DE33706" w:rsidR="0025718B" w:rsidRPr="00FA6798" w:rsidRDefault="0025718B" w:rsidP="0025718B">
            <w:pPr>
              <w:rPr>
                <w:rFonts w:ascii="Calibri" w:hAnsi="Calibri" w:cs="Calibri"/>
                <w:bCs/>
                <w:color w:val="000000" w:themeColor="text1"/>
                <w:lang w:val="de-DE"/>
              </w:rPr>
            </w:pPr>
          </w:p>
        </w:tc>
        <w:tc>
          <w:tcPr>
            <w:tcW w:w="5523" w:type="dxa"/>
          </w:tcPr>
          <w:p w14:paraId="7DA09C80" w14:textId="03122A5A" w:rsidR="007227D1" w:rsidRPr="00C77207" w:rsidRDefault="002E2237" w:rsidP="008543B6">
            <w:pPr>
              <w:rPr>
                <w:rFonts w:cstheme="minorHAnsi"/>
                <w:color w:val="000000" w:themeColor="text1"/>
                <w:lang w:val="de-DE"/>
              </w:rPr>
            </w:pPr>
            <w:r w:rsidRPr="00C77207">
              <w:rPr>
                <w:rFonts w:cstheme="minorHAnsi"/>
                <w:color w:val="000000" w:themeColor="text1"/>
                <w:lang w:val="de-DE"/>
              </w:rPr>
              <w:t xml:space="preserve">Verpflichtende gesetzliche Regularien bezüglich des Kindeschutzes insbesondere für die Tourismusindustrie bestehen bisher nicht. </w:t>
            </w:r>
          </w:p>
          <w:p w14:paraId="6AEF751A" w14:textId="6CFA09A9" w:rsidR="002D3D36" w:rsidRPr="00C77207" w:rsidRDefault="002D3D36" w:rsidP="008543B6">
            <w:pPr>
              <w:rPr>
                <w:rFonts w:cstheme="minorHAnsi"/>
                <w:color w:val="000000" w:themeColor="text1"/>
                <w:lang w:val="de-DE"/>
              </w:rPr>
            </w:pPr>
            <w:r w:rsidRPr="00C77207">
              <w:rPr>
                <w:rFonts w:cstheme="minorHAnsi"/>
                <w:color w:val="000000" w:themeColor="text1"/>
                <w:lang w:val="de-DE"/>
              </w:rPr>
              <w:t xml:space="preserve">Nach dem Lieferkettensorgfaltspflichtengesetz (LkSG) sind ab 2023 </w:t>
            </w:r>
            <w:r w:rsidR="00B16C66" w:rsidRPr="00C77207">
              <w:rPr>
                <w:rFonts w:cstheme="minorHAnsi"/>
                <w:color w:val="000000" w:themeColor="text1"/>
                <w:lang w:val="de-DE"/>
              </w:rPr>
              <w:t xml:space="preserve">auch </w:t>
            </w:r>
            <w:r w:rsidRPr="00C77207">
              <w:rPr>
                <w:rFonts w:cstheme="minorHAnsi"/>
                <w:color w:val="000000" w:themeColor="text1"/>
                <w:lang w:val="de-DE"/>
              </w:rPr>
              <w:t>Unternehmen</w:t>
            </w:r>
            <w:r w:rsidR="00B16C66" w:rsidRPr="00C77207">
              <w:rPr>
                <w:rFonts w:cstheme="minorHAnsi"/>
                <w:color w:val="000000" w:themeColor="text1"/>
                <w:lang w:val="de-DE"/>
              </w:rPr>
              <w:t xml:space="preserve"> der Touristikbranche</w:t>
            </w:r>
            <w:r w:rsidRPr="00C77207">
              <w:rPr>
                <w:rFonts w:cstheme="minorHAnsi"/>
                <w:color w:val="000000" w:themeColor="text1"/>
                <w:lang w:val="de-DE"/>
              </w:rPr>
              <w:t xml:space="preserve"> mit einer Größe von über 3000 Mitarbeitenden und ab 2024 auch Unternehmen mit einer Größe von über 1000 Mitarbeitenden </w:t>
            </w:r>
            <w:r w:rsidR="00B16C66" w:rsidRPr="00C77207">
              <w:rPr>
                <w:rFonts w:cstheme="minorHAnsi"/>
                <w:color w:val="000000" w:themeColor="text1"/>
                <w:lang w:val="de-DE"/>
              </w:rPr>
              <w:t>verpflichtet, in ihrer Lieferkette Sorgfaltspflichten in Bezug auf menschenrechtliche Risiken zu erfüllen. Hierunter fallen auch der Kinderschutz sowie der Schutz vor sexueller Ausbeutung.</w:t>
            </w:r>
          </w:p>
          <w:p w14:paraId="5D962744" w14:textId="4AD562A0" w:rsidR="002E2237" w:rsidRPr="00C77207" w:rsidRDefault="00B16C66" w:rsidP="008543B6">
            <w:pPr>
              <w:rPr>
                <w:rFonts w:cstheme="minorHAnsi"/>
                <w:color w:val="000000" w:themeColor="text1"/>
                <w:lang w:val="de-DE"/>
              </w:rPr>
            </w:pPr>
            <w:r w:rsidRPr="00C77207">
              <w:rPr>
                <w:rFonts w:cstheme="minorHAnsi"/>
                <w:color w:val="000000" w:themeColor="text1"/>
                <w:lang w:val="de-DE"/>
              </w:rPr>
              <w:lastRenderedPageBreak/>
              <w:t>Zudem</w:t>
            </w:r>
            <w:r w:rsidR="002E2237" w:rsidRPr="00C77207">
              <w:rPr>
                <w:rFonts w:cstheme="minorHAnsi"/>
                <w:color w:val="000000" w:themeColor="text1"/>
                <w:lang w:val="de-DE"/>
              </w:rPr>
              <w:t xml:space="preserve"> existieren verschiedene Arbeitsgruppen, Kampagnen und Selbstverpflichtungen, sodass das </w:t>
            </w:r>
            <w:r w:rsidR="00FA1E68" w:rsidRPr="00C77207">
              <w:rPr>
                <w:rFonts w:cstheme="minorHAnsi"/>
                <w:color w:val="000000" w:themeColor="text1"/>
                <w:lang w:val="de-DE"/>
              </w:rPr>
              <w:t xml:space="preserve">Thema der sexuellen Ausbeutung von Kindern in der Branche durchaus präsent ist. Im Folgenden werden einige Beispiele hierzu aufgezeigt. </w:t>
            </w:r>
          </w:p>
          <w:p w14:paraId="2B2F1B3A" w14:textId="5CB2AEA7" w:rsidR="00FA1E68" w:rsidRPr="00C77207" w:rsidRDefault="00FA1E68" w:rsidP="008543B6">
            <w:pPr>
              <w:rPr>
                <w:rFonts w:cstheme="minorHAnsi"/>
                <w:color w:val="000000" w:themeColor="text1"/>
                <w:lang w:val="de-DE"/>
              </w:rPr>
            </w:pPr>
            <w:r w:rsidRPr="00C77207">
              <w:rPr>
                <w:rFonts w:cstheme="minorHAnsi"/>
                <w:color w:val="000000" w:themeColor="text1"/>
                <w:lang w:val="de-DE"/>
              </w:rPr>
              <w:t>Sehr bekannt ist die Kampagne „Nicht wegsehen“ (oder englisch „Don’t look away!“), die aus einem Multi-Stakeholder-Bündnis entstanden</w:t>
            </w:r>
            <w:r w:rsidR="00E8174A" w:rsidRPr="00C77207">
              <w:rPr>
                <w:rFonts w:cstheme="minorHAnsi"/>
                <w:color w:val="000000" w:themeColor="text1"/>
                <w:lang w:val="de-DE"/>
              </w:rPr>
              <w:t xml:space="preserve"> ist und an der </w:t>
            </w:r>
            <w:r w:rsidR="0003644E" w:rsidRPr="00C77207">
              <w:rPr>
                <w:rFonts w:cstheme="minorHAnsi"/>
                <w:color w:val="000000" w:themeColor="text1"/>
                <w:lang w:val="de-DE"/>
              </w:rPr>
              <w:t xml:space="preserve">ECPAT </w:t>
            </w:r>
            <w:r w:rsidR="00E8174A" w:rsidRPr="00C77207">
              <w:rPr>
                <w:rFonts w:cstheme="minorHAnsi"/>
                <w:color w:val="000000" w:themeColor="text1"/>
                <w:lang w:val="de-DE"/>
              </w:rPr>
              <w:t>maßgeblich beteiligt ist.</w:t>
            </w:r>
            <w:r w:rsidR="00E8174A" w:rsidRPr="00C77207">
              <w:rPr>
                <w:rStyle w:val="FootnoteReference"/>
                <w:rFonts w:cstheme="minorHAnsi"/>
                <w:color w:val="000000" w:themeColor="text1"/>
                <w:lang w:val="de-DE"/>
              </w:rPr>
              <w:footnoteReference w:id="19"/>
            </w:r>
            <w:r w:rsidR="00E8174A" w:rsidRPr="00C77207">
              <w:rPr>
                <w:rFonts w:cstheme="minorHAnsi"/>
                <w:color w:val="000000" w:themeColor="text1"/>
                <w:lang w:val="de-DE"/>
              </w:rPr>
              <w:t xml:space="preserve"> Die Kampagne umfasst nicht nur Aufklärungsvideos und -material, sondern auch eine internationale Meldeplattform. </w:t>
            </w:r>
          </w:p>
          <w:p w14:paraId="18D9D85F" w14:textId="433BF342" w:rsidR="00E8174A" w:rsidRPr="00C77207" w:rsidRDefault="00E8174A" w:rsidP="008543B6">
            <w:pPr>
              <w:rPr>
                <w:rFonts w:cstheme="minorHAnsi"/>
                <w:color w:val="000000" w:themeColor="text1"/>
                <w:lang w:val="de-DE"/>
              </w:rPr>
            </w:pPr>
            <w:r w:rsidRPr="00C77207">
              <w:rPr>
                <w:rFonts w:cstheme="minorHAnsi"/>
                <w:color w:val="000000" w:themeColor="text1"/>
                <w:lang w:val="de-DE"/>
              </w:rPr>
              <w:t>Auch der größte deutsche Dachverband für Reisewirtschaft</w:t>
            </w:r>
            <w:r w:rsidR="00145FD4" w:rsidRPr="00C77207">
              <w:rPr>
                <w:rFonts w:cstheme="minorHAnsi"/>
                <w:color w:val="000000" w:themeColor="text1"/>
                <w:lang w:val="de-DE"/>
              </w:rPr>
              <w:t>,</w:t>
            </w:r>
            <w:r w:rsidRPr="00C77207">
              <w:rPr>
                <w:rFonts w:cstheme="minorHAnsi"/>
                <w:color w:val="000000" w:themeColor="text1"/>
                <w:lang w:val="de-DE"/>
              </w:rPr>
              <w:t xml:space="preserve"> der </w:t>
            </w:r>
            <w:r w:rsidR="007227D1" w:rsidRPr="00C77207">
              <w:rPr>
                <w:rFonts w:cstheme="minorHAnsi"/>
                <w:color w:val="000000" w:themeColor="text1"/>
                <w:lang w:val="de-DE"/>
              </w:rPr>
              <w:t>D</w:t>
            </w:r>
            <w:r w:rsidRPr="00C77207">
              <w:rPr>
                <w:rFonts w:cstheme="minorHAnsi"/>
                <w:color w:val="000000" w:themeColor="text1"/>
                <w:lang w:val="de-DE"/>
              </w:rPr>
              <w:t>eutsche Reiseverband (DRV)</w:t>
            </w:r>
            <w:r w:rsidR="00145FD4" w:rsidRPr="00C77207">
              <w:rPr>
                <w:rFonts w:cstheme="minorHAnsi"/>
                <w:color w:val="000000" w:themeColor="text1"/>
                <w:lang w:val="de-DE"/>
              </w:rPr>
              <w:t>,</w:t>
            </w:r>
            <w:r w:rsidRPr="00C77207">
              <w:rPr>
                <w:rFonts w:cstheme="minorHAnsi"/>
                <w:color w:val="000000" w:themeColor="text1"/>
                <w:lang w:val="de-DE"/>
              </w:rPr>
              <w:t xml:space="preserve"> engagiert sich im Sinne des Kinderschutzes gegen die sexuelle Ausbeutung</w:t>
            </w:r>
            <w:r w:rsidR="0025718B" w:rsidRPr="00C77207">
              <w:rPr>
                <w:rFonts w:cstheme="minorHAnsi"/>
                <w:color w:val="000000" w:themeColor="text1"/>
                <w:lang w:val="de-DE"/>
              </w:rPr>
              <w:t>. Hier</w:t>
            </w:r>
            <w:r w:rsidR="00145FD4" w:rsidRPr="00C77207">
              <w:rPr>
                <w:rFonts w:cstheme="minorHAnsi"/>
                <w:color w:val="000000" w:themeColor="text1"/>
                <w:lang w:val="de-DE"/>
              </w:rPr>
              <w:t>bei</w:t>
            </w:r>
            <w:r w:rsidR="0025718B" w:rsidRPr="00C77207">
              <w:rPr>
                <w:rFonts w:cstheme="minorHAnsi"/>
                <w:color w:val="000000" w:themeColor="text1"/>
                <w:lang w:val="de-DE"/>
              </w:rPr>
              <w:t xml:space="preserve"> gibt es eine eigene Arbeitsgruppe, enge Kooperation mit der „Nicht Wegsehen“-Kampagne und Workshops zur Sensibilisierung im In- und Ausland.</w:t>
            </w:r>
            <w:r w:rsidR="007227D1" w:rsidRPr="00C77207">
              <w:rPr>
                <w:rStyle w:val="FootnoteReference"/>
                <w:rFonts w:cstheme="minorHAnsi"/>
                <w:color w:val="000000" w:themeColor="text1"/>
                <w:lang w:val="de-DE"/>
              </w:rPr>
              <w:footnoteReference w:id="20"/>
            </w:r>
          </w:p>
          <w:p w14:paraId="327CA9B7" w14:textId="14E16238" w:rsidR="007227D1" w:rsidRPr="00C77207" w:rsidRDefault="00145FD4" w:rsidP="008543B6">
            <w:pPr>
              <w:rPr>
                <w:rFonts w:cstheme="minorHAnsi"/>
                <w:color w:val="000000" w:themeColor="text1"/>
                <w:lang w:val="de-DE"/>
              </w:rPr>
            </w:pPr>
            <w:r w:rsidRPr="00C77207">
              <w:rPr>
                <w:rFonts w:cstheme="minorHAnsi"/>
                <w:color w:val="000000" w:themeColor="text1"/>
                <w:lang w:val="de-DE"/>
              </w:rPr>
              <w:t>Ergänzend</w:t>
            </w:r>
            <w:r w:rsidR="007227D1" w:rsidRPr="00C77207">
              <w:rPr>
                <w:rFonts w:cstheme="minorHAnsi"/>
                <w:color w:val="000000" w:themeColor="text1"/>
                <w:lang w:val="de-DE"/>
              </w:rPr>
              <w:t xml:space="preserve"> wird auch in der Vermittlung bereits aktiv mit verschiedenen Zertifikaten gearbeitet. Diese können sich sowohl auf einzelne Häuser (z.B. Hotels) als auch auf ganze Regionen beziehen und </w:t>
            </w:r>
            <w:r w:rsidRPr="00C77207">
              <w:rPr>
                <w:rFonts w:cstheme="minorHAnsi"/>
                <w:color w:val="000000" w:themeColor="text1"/>
                <w:lang w:val="de-DE"/>
              </w:rPr>
              <w:t>stellen</w:t>
            </w:r>
            <w:r w:rsidR="007227D1" w:rsidRPr="00C77207">
              <w:rPr>
                <w:rFonts w:cstheme="minorHAnsi"/>
                <w:color w:val="000000" w:themeColor="text1"/>
                <w:lang w:val="de-DE"/>
              </w:rPr>
              <w:t xml:space="preserve"> </w:t>
            </w:r>
            <w:r w:rsidRPr="00C77207">
              <w:rPr>
                <w:rFonts w:cstheme="minorHAnsi"/>
                <w:color w:val="000000" w:themeColor="text1"/>
                <w:lang w:val="de-DE"/>
              </w:rPr>
              <w:t>verschieden hohe Anforderungen.</w:t>
            </w:r>
            <w:r w:rsidR="007227D1" w:rsidRPr="00C77207">
              <w:rPr>
                <w:rFonts w:cstheme="minorHAnsi"/>
                <w:color w:val="000000" w:themeColor="text1"/>
                <w:lang w:val="de-DE"/>
              </w:rPr>
              <w:t xml:space="preserve"> </w:t>
            </w:r>
            <w:r w:rsidR="00125C50" w:rsidRPr="00C77207">
              <w:rPr>
                <w:rFonts w:cstheme="minorHAnsi"/>
                <w:color w:val="000000" w:themeColor="text1"/>
                <w:lang w:val="de-DE"/>
              </w:rPr>
              <w:t xml:space="preserve">Häufig wird hier auf die Kriterien des Global Sustainable Tourism Council (GSTC) </w:t>
            </w:r>
            <w:r w:rsidR="0013021C" w:rsidRPr="00C77207">
              <w:rPr>
                <w:rFonts w:cstheme="minorHAnsi"/>
                <w:color w:val="000000" w:themeColor="text1"/>
                <w:lang w:val="de-DE"/>
              </w:rPr>
              <w:t>zurückgegriffen</w:t>
            </w:r>
            <w:r w:rsidRPr="00C77207">
              <w:rPr>
                <w:rFonts w:cstheme="minorHAnsi"/>
                <w:color w:val="000000" w:themeColor="text1"/>
                <w:lang w:val="de-DE"/>
              </w:rPr>
              <w:t>. D</w:t>
            </w:r>
            <w:r w:rsidR="00125C50" w:rsidRPr="00C77207">
              <w:rPr>
                <w:rFonts w:cstheme="minorHAnsi"/>
                <w:color w:val="000000" w:themeColor="text1"/>
                <w:lang w:val="de-DE"/>
              </w:rPr>
              <w:t>iese wei</w:t>
            </w:r>
            <w:r w:rsidR="00935DB2" w:rsidRPr="00C77207">
              <w:rPr>
                <w:rFonts w:cstheme="minorHAnsi"/>
                <w:color w:val="000000" w:themeColor="text1"/>
                <w:lang w:val="de-DE"/>
              </w:rPr>
              <w:t>sen</w:t>
            </w:r>
            <w:r w:rsidR="00125C50" w:rsidRPr="00C77207">
              <w:rPr>
                <w:rFonts w:cstheme="minorHAnsi"/>
                <w:color w:val="000000" w:themeColor="text1"/>
                <w:lang w:val="de-DE"/>
              </w:rPr>
              <w:t xml:space="preserve"> zum Beispiel für Destinationen unter B5 aus, dass Gesetze und Standards gegen sexuelle und jede andere Art von Ausbeutung bestehen müssen.</w:t>
            </w:r>
            <w:r w:rsidR="00125C50" w:rsidRPr="00C77207">
              <w:rPr>
                <w:rStyle w:val="FootnoteReference"/>
                <w:rFonts w:cstheme="minorHAnsi"/>
                <w:color w:val="000000" w:themeColor="text1"/>
                <w:lang w:val="de-DE"/>
              </w:rPr>
              <w:footnoteReference w:id="21"/>
            </w:r>
          </w:p>
          <w:p w14:paraId="3001DF08" w14:textId="4115FA78" w:rsidR="0003644E" w:rsidRPr="00C77207" w:rsidRDefault="00935DB2" w:rsidP="008543B6">
            <w:pPr>
              <w:rPr>
                <w:rFonts w:cstheme="minorHAnsi"/>
                <w:color w:val="000000" w:themeColor="text1"/>
                <w:lang w:val="de-DE"/>
              </w:rPr>
            </w:pPr>
            <w:r w:rsidRPr="00C77207">
              <w:rPr>
                <w:rFonts w:cstheme="minorHAnsi"/>
                <w:color w:val="000000" w:themeColor="text1"/>
                <w:lang w:val="de-DE"/>
              </w:rPr>
              <w:t>Bereits im</w:t>
            </w:r>
            <w:r w:rsidR="00436CD9" w:rsidRPr="00C77207">
              <w:rPr>
                <w:rFonts w:cstheme="minorHAnsi"/>
                <w:color w:val="000000" w:themeColor="text1"/>
                <w:lang w:val="de-DE"/>
              </w:rPr>
              <w:t xml:space="preserve"> Rahmen der Ausbildung</w:t>
            </w:r>
            <w:r w:rsidRPr="00C77207">
              <w:rPr>
                <w:rFonts w:cstheme="minorHAnsi"/>
                <w:color w:val="000000" w:themeColor="text1"/>
                <w:lang w:val="de-DE"/>
              </w:rPr>
              <w:t xml:space="preserve"> in der Tourismusbranche werden die Mitarbei</w:t>
            </w:r>
            <w:r w:rsidR="00145FD4" w:rsidRPr="00C77207">
              <w:rPr>
                <w:rFonts w:cstheme="minorHAnsi"/>
                <w:color w:val="000000" w:themeColor="text1"/>
                <w:lang w:val="de-DE"/>
              </w:rPr>
              <w:t>tenden</w:t>
            </w:r>
            <w:r w:rsidR="00436CD9" w:rsidRPr="00C77207">
              <w:rPr>
                <w:rFonts w:cstheme="minorHAnsi"/>
                <w:color w:val="000000" w:themeColor="text1"/>
                <w:lang w:val="de-DE"/>
              </w:rPr>
              <w:t xml:space="preserve"> </w:t>
            </w:r>
            <w:r w:rsidRPr="00C77207">
              <w:rPr>
                <w:rFonts w:cstheme="minorHAnsi"/>
                <w:color w:val="000000" w:themeColor="text1"/>
                <w:lang w:val="de-DE"/>
              </w:rPr>
              <w:t>durch</w:t>
            </w:r>
            <w:r w:rsidR="00436CD9" w:rsidRPr="00C77207">
              <w:rPr>
                <w:rFonts w:cstheme="minorHAnsi"/>
                <w:color w:val="000000" w:themeColor="text1"/>
                <w:lang w:val="de-DE"/>
              </w:rPr>
              <w:t xml:space="preserve"> Schulungen </w:t>
            </w:r>
            <w:r w:rsidRPr="00C77207">
              <w:rPr>
                <w:rFonts w:cstheme="minorHAnsi"/>
                <w:color w:val="000000" w:themeColor="text1"/>
                <w:lang w:val="de-DE"/>
              </w:rPr>
              <w:t>sensibilisiert.</w:t>
            </w:r>
            <w:r w:rsidRPr="00C77207">
              <w:rPr>
                <w:rStyle w:val="FootnoteReference"/>
                <w:rFonts w:cstheme="minorHAnsi"/>
                <w:color w:val="000000" w:themeColor="text1"/>
                <w:lang w:val="de-DE"/>
              </w:rPr>
              <w:footnoteReference w:id="22"/>
            </w:r>
          </w:p>
        </w:tc>
      </w:tr>
      <w:tr w:rsidR="001C2BA0" w:rsidRPr="00F206A4" w14:paraId="60D5E73B" w14:textId="77777777" w:rsidTr="00A57D8B">
        <w:trPr>
          <w:trHeight w:val="5235"/>
        </w:trPr>
        <w:tc>
          <w:tcPr>
            <w:tcW w:w="425" w:type="dxa"/>
          </w:tcPr>
          <w:p w14:paraId="76FEFCE3" w14:textId="77777777" w:rsidR="001C2BA0" w:rsidRPr="006F60F7" w:rsidRDefault="001C2BA0" w:rsidP="001C2BA0">
            <w:pPr>
              <w:numPr>
                <w:ilvl w:val="0"/>
                <w:numId w:val="2"/>
              </w:numPr>
              <w:contextualSpacing/>
              <w:rPr>
                <w:rFonts w:ascii="Calibri" w:hAnsi="Calibri" w:cs="Calibri"/>
                <w:szCs w:val="28"/>
                <w:lang w:val="de-DE"/>
              </w:rPr>
            </w:pPr>
          </w:p>
        </w:tc>
        <w:tc>
          <w:tcPr>
            <w:tcW w:w="5387" w:type="dxa"/>
          </w:tcPr>
          <w:p w14:paraId="3417F860" w14:textId="40F33D53" w:rsidR="00C272C3" w:rsidRPr="00C272C3" w:rsidRDefault="00C272C3" w:rsidP="00C272C3">
            <w:pPr>
              <w:jc w:val="both"/>
              <w:rPr>
                <w:rFonts w:cstheme="minorHAnsi"/>
                <w:color w:val="000000" w:themeColor="text1"/>
                <w:lang w:val="de-DE"/>
              </w:rPr>
            </w:pPr>
            <w:r w:rsidRPr="00C272C3">
              <w:rPr>
                <w:rFonts w:cstheme="minorHAnsi"/>
                <w:color w:val="000000" w:themeColor="text1"/>
                <w:lang w:val="de-DE"/>
              </w:rPr>
              <w:t xml:space="preserve">Sicherstellung der </w:t>
            </w:r>
            <w:r w:rsidR="007F0D8E">
              <w:rPr>
                <w:rFonts w:cstheme="minorHAnsi"/>
                <w:b/>
                <w:color w:val="000000" w:themeColor="text1"/>
                <w:lang w:val="de-DE"/>
              </w:rPr>
              <w:t>rechtlichen Verantwortlichkeit</w:t>
            </w:r>
            <w:r w:rsidR="007F0D8E" w:rsidRPr="007F0D8E">
              <w:rPr>
                <w:rStyle w:val="CommentReference"/>
                <w:lang w:val="de-DE"/>
              </w:rPr>
              <w:t xml:space="preserve"> </w:t>
            </w:r>
            <w:r w:rsidR="007F0D8E">
              <w:rPr>
                <w:rStyle w:val="CommentReference"/>
                <w:b/>
                <w:sz w:val="22"/>
                <w:lang w:val="de-DE"/>
              </w:rPr>
              <w:t>v</w:t>
            </w:r>
            <w:r w:rsidRPr="00C272C3">
              <w:rPr>
                <w:rFonts w:cstheme="minorHAnsi"/>
                <w:b/>
                <w:color w:val="000000" w:themeColor="text1"/>
                <w:lang w:val="de-DE"/>
              </w:rPr>
              <w:t>on Reise- und Tourismusunternehmen</w:t>
            </w:r>
            <w:r w:rsidRPr="00C272C3">
              <w:rPr>
                <w:rFonts w:cstheme="minorHAnsi"/>
                <w:color w:val="000000" w:themeColor="text1"/>
                <w:lang w:val="de-DE"/>
              </w:rPr>
              <w:t xml:space="preserve"> (im Geschäftsbereich und in der Lieferkette) für kriminelles Verhalten, einschließlich:</w:t>
            </w:r>
          </w:p>
          <w:p w14:paraId="16A03C97" w14:textId="4980A4A1" w:rsidR="00C272C3" w:rsidRPr="00C272C3" w:rsidRDefault="00C272C3" w:rsidP="00C272C3">
            <w:pPr>
              <w:pStyle w:val="ListParagraph"/>
              <w:numPr>
                <w:ilvl w:val="0"/>
                <w:numId w:val="7"/>
              </w:numPr>
              <w:spacing w:line="240" w:lineRule="auto"/>
              <w:jc w:val="both"/>
              <w:rPr>
                <w:rFonts w:asciiTheme="minorHAnsi" w:hAnsiTheme="minorHAnsi" w:cstheme="minorHAnsi"/>
                <w:color w:val="000000" w:themeColor="text1"/>
                <w:lang w:val="de-DE"/>
              </w:rPr>
            </w:pPr>
            <w:r w:rsidRPr="00C272C3">
              <w:rPr>
                <w:rFonts w:asciiTheme="minorHAnsi" w:hAnsiTheme="minorHAnsi" w:cstheme="minorHAnsi"/>
                <w:color w:val="000000" w:themeColor="text1"/>
                <w:lang w:val="de-DE"/>
              </w:rPr>
              <w:t xml:space="preserve">Organisation von Reisearrangements oder Transporten, die explizit oder implizit dazu </w:t>
            </w:r>
            <w:r w:rsidR="006117D1">
              <w:rPr>
                <w:rFonts w:asciiTheme="minorHAnsi" w:hAnsiTheme="minorHAnsi" w:cstheme="minorHAnsi"/>
                <w:color w:val="000000" w:themeColor="text1"/>
                <w:lang w:val="de-DE"/>
              </w:rPr>
              <w:t>bestimmt</w:t>
            </w:r>
            <w:r w:rsidRPr="00C272C3">
              <w:rPr>
                <w:rFonts w:asciiTheme="minorHAnsi" w:hAnsiTheme="minorHAnsi" w:cstheme="minorHAnsi"/>
                <w:color w:val="000000" w:themeColor="text1"/>
                <w:lang w:val="de-DE"/>
              </w:rPr>
              <w:t xml:space="preserve"> sind, Gelegenheiten </w:t>
            </w:r>
            <w:r w:rsidR="0014724B">
              <w:rPr>
                <w:rFonts w:asciiTheme="minorHAnsi" w:hAnsiTheme="minorHAnsi" w:cstheme="minorHAnsi"/>
                <w:color w:val="000000" w:themeColor="text1"/>
                <w:lang w:val="de-DE"/>
              </w:rPr>
              <w:t xml:space="preserve">zur sexuellen Ausbeutung oder sexualisierter Gewalt an Kindern </w:t>
            </w:r>
            <w:r w:rsidRPr="00C272C3">
              <w:rPr>
                <w:rFonts w:asciiTheme="minorHAnsi" w:hAnsiTheme="minorHAnsi" w:cstheme="minorHAnsi"/>
                <w:color w:val="000000" w:themeColor="text1"/>
                <w:lang w:val="de-DE"/>
              </w:rPr>
              <w:t>zu schaffen oder zu erleichtern</w:t>
            </w:r>
            <w:r w:rsidR="0014724B">
              <w:rPr>
                <w:rFonts w:asciiTheme="minorHAnsi" w:hAnsiTheme="minorHAnsi" w:cstheme="minorHAnsi"/>
                <w:color w:val="000000" w:themeColor="text1"/>
                <w:lang w:val="de-DE"/>
              </w:rPr>
              <w:t xml:space="preserve">; </w:t>
            </w:r>
          </w:p>
          <w:p w14:paraId="1C412BCC" w14:textId="29AA103E" w:rsidR="00C272C3" w:rsidRPr="00C272C3" w:rsidRDefault="00C272C3" w:rsidP="00C272C3">
            <w:pPr>
              <w:pStyle w:val="ListParagraph"/>
              <w:numPr>
                <w:ilvl w:val="0"/>
                <w:numId w:val="7"/>
              </w:numPr>
              <w:spacing w:line="240" w:lineRule="auto"/>
              <w:jc w:val="both"/>
              <w:rPr>
                <w:rFonts w:asciiTheme="minorHAnsi" w:hAnsiTheme="minorHAnsi" w:cstheme="minorHAnsi"/>
                <w:color w:val="000000" w:themeColor="text1"/>
                <w:lang w:val="de-DE"/>
              </w:rPr>
            </w:pPr>
            <w:r w:rsidRPr="00C272C3">
              <w:rPr>
                <w:rFonts w:asciiTheme="minorHAnsi" w:hAnsiTheme="minorHAnsi" w:cstheme="minorHAnsi"/>
                <w:color w:val="000000" w:themeColor="text1"/>
                <w:lang w:val="de-DE"/>
              </w:rPr>
              <w:t>Veranlassung, Beihilfe oder Anstiftung zu ausbeuterischen sexuellen Handlungen mit einem Kind;</w:t>
            </w:r>
          </w:p>
          <w:p w14:paraId="0B39FAC4" w14:textId="557785B1" w:rsidR="00C272C3" w:rsidRPr="00C272C3" w:rsidRDefault="00C272C3" w:rsidP="00C272C3">
            <w:pPr>
              <w:pStyle w:val="ListParagraph"/>
              <w:numPr>
                <w:ilvl w:val="0"/>
                <w:numId w:val="7"/>
              </w:numPr>
              <w:spacing w:line="240" w:lineRule="auto"/>
              <w:jc w:val="both"/>
              <w:rPr>
                <w:rFonts w:asciiTheme="minorHAnsi" w:hAnsiTheme="minorHAnsi" w:cstheme="minorHAnsi"/>
                <w:color w:val="000000" w:themeColor="text1"/>
                <w:lang w:val="de-DE"/>
              </w:rPr>
            </w:pPr>
            <w:r w:rsidRPr="00C272C3">
              <w:rPr>
                <w:rFonts w:asciiTheme="minorHAnsi" w:hAnsiTheme="minorHAnsi" w:cstheme="minorHAnsi"/>
                <w:color w:val="000000" w:themeColor="text1"/>
                <w:lang w:val="de-DE"/>
              </w:rPr>
              <w:t>Werbung oder Förderung der sexuellen Ausbeutung von Kindern;</w:t>
            </w:r>
          </w:p>
          <w:p w14:paraId="457CF472" w14:textId="55A81041" w:rsidR="001C2BA0" w:rsidRPr="00C272C3" w:rsidRDefault="00C272C3" w:rsidP="00C272C3">
            <w:pPr>
              <w:pStyle w:val="ListParagraph"/>
              <w:numPr>
                <w:ilvl w:val="0"/>
                <w:numId w:val="7"/>
              </w:numPr>
              <w:spacing w:line="240" w:lineRule="auto"/>
              <w:jc w:val="both"/>
              <w:rPr>
                <w:rFonts w:ascii="Calibri" w:hAnsi="Calibri" w:cs="Calibri"/>
                <w:color w:val="000000" w:themeColor="text1"/>
                <w:lang w:val="de-DE"/>
              </w:rPr>
            </w:pPr>
            <w:r w:rsidRPr="00C272C3">
              <w:rPr>
                <w:rFonts w:asciiTheme="minorHAnsi" w:hAnsiTheme="minorHAnsi" w:cstheme="minorHAnsi"/>
                <w:color w:val="000000" w:themeColor="text1"/>
                <w:lang w:val="de-DE"/>
              </w:rPr>
              <w:t>Profitieren von jeglicher Form der sexuellen Ausbeutung eines Kindes (oder mehrerer Kinder) im Zusammenhang mit ihrem Reise- und Tourismusgeschäft.</w:t>
            </w:r>
          </w:p>
        </w:tc>
        <w:tc>
          <w:tcPr>
            <w:tcW w:w="1701" w:type="dxa"/>
          </w:tcPr>
          <w:p w14:paraId="65BA8F34" w14:textId="78FAEA52" w:rsidR="001C2BA0" w:rsidRPr="00A57D8B" w:rsidRDefault="00C55A34" w:rsidP="00D602BC">
            <w:pPr>
              <w:rPr>
                <w:rFonts w:ascii="Calibri" w:hAnsi="Calibri" w:cs="Calibri"/>
                <w:bCs/>
                <w:color w:val="000000" w:themeColor="text1"/>
                <w:lang w:val="en-GB"/>
              </w:rPr>
            </w:pPr>
            <w:proofErr w:type="spellStart"/>
            <w:r>
              <w:rPr>
                <w:rFonts w:ascii="Calibri" w:hAnsi="Calibri" w:cs="Calibri"/>
                <w:bCs/>
                <w:color w:val="000000" w:themeColor="text1"/>
                <w:lang w:val="en-GB"/>
              </w:rPr>
              <w:t>Teilweise</w:t>
            </w:r>
            <w:proofErr w:type="spellEnd"/>
          </w:p>
        </w:tc>
        <w:tc>
          <w:tcPr>
            <w:tcW w:w="5523" w:type="dxa"/>
          </w:tcPr>
          <w:p w14:paraId="115BDB97" w14:textId="77777777" w:rsidR="00FD680B" w:rsidRPr="00C77207" w:rsidRDefault="00FD680B" w:rsidP="008543B6">
            <w:pPr>
              <w:rPr>
                <w:rFonts w:cstheme="minorHAnsi"/>
                <w:lang w:val="de-DE"/>
              </w:rPr>
            </w:pPr>
            <w:r w:rsidRPr="00C77207">
              <w:rPr>
                <w:rFonts w:cstheme="minorHAnsi"/>
                <w:lang w:val="de-DE"/>
              </w:rPr>
              <w:t>Strafrechtlich verfolgbar sind in Deutschland nur einzelne Menschen, keine Unternehmen als solche. Diejenigen Mitarbeitenden der Unternehmen, die vorsätzlich Gelegenheiten zum sexuellen Missbrauch schaffen, können sich jedoch nach den §§ 174 ff. StGB und §§ 232 ff. StGB bzw. der Beihilfe (§ 27 StGB) und Anstiftung (§ 26 StGB) hierzu strafbar machen (Für die im Tourismus häufige Konstellation, dass Straftaten im Ausland begangen werden, siehe Punkt 1 der Checklist).</w:t>
            </w:r>
          </w:p>
          <w:p w14:paraId="79983FD6" w14:textId="4B5580C1" w:rsidR="00FD680B" w:rsidRPr="00C77207" w:rsidRDefault="00FD680B" w:rsidP="008543B6">
            <w:pPr>
              <w:rPr>
                <w:rFonts w:cstheme="minorHAnsi"/>
                <w:lang w:val="de-DE"/>
              </w:rPr>
            </w:pPr>
            <w:r w:rsidRPr="00C77207">
              <w:rPr>
                <w:rFonts w:cstheme="minorHAnsi"/>
                <w:lang w:val="de-DE"/>
              </w:rPr>
              <w:t>Zivilrechtlich können sowohl einzelne Mitarbeitende als auch Unternehmen als Ganzes nach den §§ 823 ff. BGB in Haftung genommen werden. Für die Haftung von Unternehmen ist insbesondere § 831 BGB relevant, wonach Unternehmen sich der Haftung jedoch entziehen können, wenn sie ihre Mitarbeitenden sorgfältig ausgesucht und kontrolliert haben. Für nicht dem Unternehmen zugehörige Glieder der Lieferkette ist das Unternehmen dagegen in aller Regel nicht haftbar. Unternehmen, die vorsätzlich sexuelle Ausbeutung ermöglichen oder fördern</w:t>
            </w:r>
            <w:r w:rsidR="00CE7022" w:rsidRPr="00C77207">
              <w:rPr>
                <w:rFonts w:cstheme="minorHAnsi"/>
                <w:lang w:val="de-DE"/>
              </w:rPr>
              <w:t>,</w:t>
            </w:r>
            <w:r w:rsidRPr="00C77207">
              <w:rPr>
                <w:rFonts w:cstheme="minorHAnsi"/>
                <w:lang w:val="de-DE"/>
              </w:rPr>
              <w:t xml:space="preserve"> werden sich hierauf jedoch nicht berufen können und trotzdem haftbar</w:t>
            </w:r>
            <w:r w:rsidR="00CE7022" w:rsidRPr="00C77207">
              <w:rPr>
                <w:rFonts w:cstheme="minorHAnsi"/>
                <w:lang w:val="de-DE"/>
              </w:rPr>
              <w:t xml:space="preserve"> sein</w:t>
            </w:r>
            <w:r w:rsidRPr="00C77207">
              <w:rPr>
                <w:rFonts w:cstheme="minorHAnsi"/>
                <w:lang w:val="de-DE"/>
              </w:rPr>
              <w:t xml:space="preserve">, </w:t>
            </w:r>
            <w:r w:rsidR="002631D4" w:rsidRPr="00C77207">
              <w:rPr>
                <w:rFonts w:cstheme="minorHAnsi"/>
                <w:lang w:val="de-DE"/>
              </w:rPr>
              <w:t>insbesondere</w:t>
            </w:r>
            <w:r w:rsidRPr="00C77207">
              <w:rPr>
                <w:rFonts w:cstheme="minorHAnsi"/>
                <w:lang w:val="de-DE"/>
              </w:rPr>
              <w:t xml:space="preserve"> nach § 826 BGB oder § 831 BGB oder als Mittäter und Beteiligte nach § 830 BGB. In der Praxis liegt die Hürde jedoch eher bei der Nachweisbarkeit dieses Vorwurfes. Allein von sexueller Ausbeutung zu profitieren, ohne diese in irgendeiner Weise zu fördern, führt in keinem Fall zu einer Haftung. All dies gilt auch für Unternehmen der Reise- und Tourismusbranc</w:t>
            </w:r>
            <w:r w:rsidR="00D34853" w:rsidRPr="00C77207">
              <w:rPr>
                <w:rFonts w:cstheme="minorHAnsi"/>
                <w:lang w:val="de-DE"/>
              </w:rPr>
              <w:t>h</w:t>
            </w:r>
            <w:r w:rsidRPr="00C77207">
              <w:rPr>
                <w:rFonts w:cstheme="minorHAnsi"/>
                <w:lang w:val="de-DE"/>
              </w:rPr>
              <w:t xml:space="preserve">e, wobei sich hier die zusätzliche Schwierigkeit ergibt, dass die eigentlichen Taten häufig im Ausland begangen wurden. Dann ist in der Regel das ausländische Recht mit jeweils unterschiedlichen Haftungsmöglichkeiten anzuwenden (siehe hierzu auch Punkt 24 der Checklist). Das neu erlassene deutsche Lieferkettensorgfaltspflichtengesetz </w:t>
            </w:r>
            <w:r w:rsidRPr="00C77207">
              <w:rPr>
                <w:rFonts w:cstheme="minorHAnsi"/>
                <w:lang w:val="de-DE"/>
              </w:rPr>
              <w:lastRenderedPageBreak/>
              <w:t>(LkSG) begründet ebenfalls keine weitergehende Haftung von Unternehmen, sondern unterstellt die Unternehmen nur der staatlichen Kontrolle durch das Bundesamt für Wirtschaft und Ausfuhrkontrolle (BAFA). Zusammengefasst ist eine Haftung von Unternehmen für die genannten Fallgruppen der sexuellen Ausbeutung nach deutschem Recht grundsätzlich sichergestellt, in der Praxis aber meist schwer durchzusetzen.</w:t>
            </w:r>
          </w:p>
        </w:tc>
      </w:tr>
      <w:tr w:rsidR="001C2BA0" w:rsidRPr="00F206A4" w14:paraId="50B67D09" w14:textId="77777777" w:rsidTr="00A57D8B">
        <w:trPr>
          <w:trHeight w:val="144"/>
        </w:trPr>
        <w:tc>
          <w:tcPr>
            <w:tcW w:w="425" w:type="dxa"/>
          </w:tcPr>
          <w:p w14:paraId="0914B142" w14:textId="77777777" w:rsidR="001C2BA0" w:rsidRPr="00FD680B" w:rsidRDefault="001C2BA0" w:rsidP="001C2BA0">
            <w:pPr>
              <w:numPr>
                <w:ilvl w:val="0"/>
                <w:numId w:val="2"/>
              </w:numPr>
              <w:contextualSpacing/>
              <w:rPr>
                <w:rFonts w:ascii="Calibri" w:hAnsi="Calibri" w:cs="Calibri"/>
                <w:szCs w:val="28"/>
                <w:lang w:val="de-DE"/>
              </w:rPr>
            </w:pPr>
          </w:p>
        </w:tc>
        <w:tc>
          <w:tcPr>
            <w:tcW w:w="5387" w:type="dxa"/>
          </w:tcPr>
          <w:p w14:paraId="79E0D6E3" w14:textId="015F8B2E" w:rsidR="001C2BA0" w:rsidRPr="006117D1" w:rsidRDefault="006117D1" w:rsidP="000F3F4C">
            <w:pPr>
              <w:rPr>
                <w:rFonts w:ascii="Calibri" w:hAnsi="Calibri" w:cs="Calibri"/>
                <w:color w:val="000000" w:themeColor="text1"/>
                <w:lang w:val="de-DE"/>
              </w:rPr>
            </w:pPr>
            <w:r w:rsidRPr="006117D1">
              <w:rPr>
                <w:rFonts w:ascii="Calibri" w:eastAsia="Calibri" w:hAnsi="Calibri" w:cs="Calibri"/>
                <w:color w:val="000000" w:themeColor="text1"/>
                <w:lang w:val="de-DE"/>
              </w:rPr>
              <w:t xml:space="preserve">Kriminalisierung des </w:t>
            </w:r>
            <w:r w:rsidR="001F7DD5">
              <w:rPr>
                <w:rFonts w:ascii="Calibri" w:eastAsia="Calibri" w:hAnsi="Calibri" w:cs="Calibri"/>
                <w:b/>
                <w:color w:val="000000" w:themeColor="text1"/>
                <w:lang w:val="de-DE"/>
              </w:rPr>
              <w:t>„</w:t>
            </w:r>
            <w:r w:rsidRPr="006117D1">
              <w:rPr>
                <w:rFonts w:ascii="Calibri" w:eastAsia="Calibri" w:hAnsi="Calibri" w:cs="Calibri"/>
                <w:b/>
                <w:color w:val="000000" w:themeColor="text1"/>
                <w:lang w:val="de-DE"/>
              </w:rPr>
              <w:t>Grooming</w:t>
            </w:r>
            <w:r w:rsidR="001F7DD5">
              <w:rPr>
                <w:rFonts w:ascii="Calibri" w:eastAsia="Calibri" w:hAnsi="Calibri" w:cs="Calibri"/>
                <w:b/>
                <w:color w:val="000000" w:themeColor="text1"/>
                <w:lang w:val="de-DE"/>
              </w:rPr>
              <w:t>“</w:t>
            </w:r>
            <w:r w:rsidRPr="006117D1">
              <w:rPr>
                <w:rFonts w:ascii="Calibri" w:eastAsia="Calibri" w:hAnsi="Calibri" w:cs="Calibri"/>
                <w:b/>
                <w:color w:val="000000" w:themeColor="text1"/>
                <w:lang w:val="de-DE"/>
              </w:rPr>
              <w:t xml:space="preserve"> von Kindern </w:t>
            </w:r>
            <w:r w:rsidRPr="006117D1">
              <w:rPr>
                <w:rFonts w:ascii="Calibri" w:eastAsia="Calibri" w:hAnsi="Calibri" w:cs="Calibri"/>
                <w:color w:val="000000" w:themeColor="text1"/>
                <w:lang w:val="de-DE"/>
              </w:rPr>
              <w:t xml:space="preserve">(im Gesetz oft als </w:t>
            </w:r>
            <w:r w:rsidR="001F7DD5">
              <w:rPr>
                <w:rFonts w:ascii="Calibri" w:eastAsia="Calibri" w:hAnsi="Calibri" w:cs="Calibri"/>
                <w:color w:val="000000" w:themeColor="text1"/>
                <w:lang w:val="de-DE"/>
              </w:rPr>
              <w:t>„</w:t>
            </w:r>
            <w:r>
              <w:rPr>
                <w:rFonts w:ascii="Calibri" w:eastAsia="Calibri" w:hAnsi="Calibri" w:cs="Calibri"/>
                <w:color w:val="000000" w:themeColor="text1"/>
                <w:lang w:val="de-DE"/>
              </w:rPr>
              <w:t>Verleitung</w:t>
            </w:r>
            <w:r w:rsidR="001F7DD5">
              <w:rPr>
                <w:rFonts w:ascii="Calibri" w:eastAsia="Calibri" w:hAnsi="Calibri" w:cs="Calibri"/>
                <w:color w:val="000000" w:themeColor="text1"/>
                <w:lang w:val="de-DE"/>
              </w:rPr>
              <w:t>“</w:t>
            </w:r>
            <w:r w:rsidRPr="006117D1">
              <w:rPr>
                <w:rFonts w:ascii="Calibri" w:eastAsia="Calibri" w:hAnsi="Calibri" w:cs="Calibri"/>
                <w:color w:val="000000" w:themeColor="text1"/>
                <w:lang w:val="de-DE"/>
              </w:rPr>
              <w:t xml:space="preserve"> bezeichnet), </w:t>
            </w:r>
            <w:r>
              <w:rPr>
                <w:rFonts w:ascii="Calibri" w:eastAsia="Calibri" w:hAnsi="Calibri" w:cs="Calibri"/>
                <w:color w:val="000000" w:themeColor="text1"/>
                <w:lang w:val="de-DE"/>
              </w:rPr>
              <w:t>auch</w:t>
            </w:r>
            <w:r w:rsidRPr="006117D1">
              <w:rPr>
                <w:rFonts w:ascii="Calibri" w:eastAsia="Calibri" w:hAnsi="Calibri" w:cs="Calibri"/>
                <w:color w:val="000000" w:themeColor="text1"/>
                <w:lang w:val="de-DE"/>
              </w:rPr>
              <w:t xml:space="preserve"> über das</w:t>
            </w:r>
            <w:r w:rsidR="007F0D8E" w:rsidRPr="007F0D8E">
              <w:rPr>
                <w:rStyle w:val="CommentReference"/>
                <w:lang w:val="de-DE"/>
              </w:rPr>
              <w:t xml:space="preserve"> </w:t>
            </w:r>
            <w:r w:rsidR="007F0D8E">
              <w:rPr>
                <w:rStyle w:val="CommentReference"/>
                <w:sz w:val="22"/>
                <w:lang w:val="de-DE"/>
              </w:rPr>
              <w:t>In</w:t>
            </w:r>
            <w:r w:rsidRPr="006117D1">
              <w:rPr>
                <w:rFonts w:ascii="Calibri" w:eastAsia="Calibri" w:hAnsi="Calibri" w:cs="Calibri"/>
                <w:color w:val="000000" w:themeColor="text1"/>
                <w:lang w:val="de-DE"/>
              </w:rPr>
              <w:t xml:space="preserve">ternet </w:t>
            </w:r>
            <w:r w:rsidR="00794D1E">
              <w:rPr>
                <w:rFonts w:ascii="Calibri" w:eastAsia="Calibri" w:hAnsi="Calibri" w:cs="Calibri"/>
                <w:color w:val="000000" w:themeColor="text1"/>
                <w:lang w:val="de-DE"/>
              </w:rPr>
              <w:t xml:space="preserve">oder </w:t>
            </w:r>
            <w:r w:rsidRPr="006117D1">
              <w:rPr>
                <w:rFonts w:ascii="Calibri" w:eastAsia="Calibri" w:hAnsi="Calibri" w:cs="Calibri"/>
                <w:color w:val="000000" w:themeColor="text1"/>
                <w:lang w:val="de-DE"/>
              </w:rPr>
              <w:t>andere Kommunikationstechnologien, um die sexuelle Ausbeutung online oder offline zu er</w:t>
            </w:r>
            <w:r w:rsidR="00794D1E">
              <w:rPr>
                <w:rFonts w:ascii="Calibri" w:eastAsia="Calibri" w:hAnsi="Calibri" w:cs="Calibri"/>
                <w:color w:val="000000" w:themeColor="text1"/>
                <w:lang w:val="de-DE"/>
              </w:rPr>
              <w:t>möglichen</w:t>
            </w:r>
            <w:r w:rsidRPr="006117D1">
              <w:rPr>
                <w:rFonts w:ascii="Calibri" w:eastAsia="Calibri" w:hAnsi="Calibri" w:cs="Calibri"/>
                <w:color w:val="000000" w:themeColor="text1"/>
                <w:lang w:val="de-DE"/>
              </w:rPr>
              <w:t>.</w:t>
            </w:r>
          </w:p>
        </w:tc>
        <w:tc>
          <w:tcPr>
            <w:tcW w:w="1701" w:type="dxa"/>
          </w:tcPr>
          <w:p w14:paraId="41A0BF38" w14:textId="500301F2" w:rsidR="001C2BA0" w:rsidRPr="00A57D8B" w:rsidRDefault="00C55A34" w:rsidP="001C2BA0">
            <w:pPr>
              <w:rPr>
                <w:rFonts w:ascii="Calibri" w:hAnsi="Calibri" w:cs="Calibri"/>
                <w:bCs/>
                <w:color w:val="000000" w:themeColor="text1"/>
                <w:lang w:val="en-GB"/>
              </w:rPr>
            </w:pPr>
            <w:proofErr w:type="spellStart"/>
            <w:r>
              <w:rPr>
                <w:rFonts w:ascii="Calibri" w:hAnsi="Calibri" w:cs="Calibri"/>
                <w:bCs/>
                <w:color w:val="000000" w:themeColor="text1"/>
                <w:lang w:val="en-GB"/>
              </w:rPr>
              <w:t>Ja</w:t>
            </w:r>
            <w:proofErr w:type="spellEnd"/>
          </w:p>
        </w:tc>
        <w:tc>
          <w:tcPr>
            <w:tcW w:w="5523" w:type="dxa"/>
          </w:tcPr>
          <w:p w14:paraId="22B23731" w14:textId="14E0A447" w:rsidR="00333902" w:rsidRPr="00C77207" w:rsidRDefault="00333902" w:rsidP="008543B6">
            <w:pPr>
              <w:rPr>
                <w:rFonts w:cstheme="minorHAnsi"/>
                <w:bCs/>
                <w:color w:val="000000" w:themeColor="text1"/>
                <w:lang w:val="de-DE"/>
              </w:rPr>
            </w:pPr>
            <w:r w:rsidRPr="00C77207">
              <w:rPr>
                <w:rFonts w:cstheme="minorHAnsi"/>
                <w:bCs/>
                <w:color w:val="000000" w:themeColor="text1"/>
                <w:lang w:val="de-DE"/>
              </w:rPr>
              <w:t>Nach § 176b StGB wird bestraft, wer den sexuellen Missbrauch an einem Kind durch Einwirken auf das Kind vorbereitet, ein Kind für das Einwirken anbietet, nachzuweisen verspricht oder sich mit einem anderen hierzu verabredet.</w:t>
            </w:r>
          </w:p>
          <w:p w14:paraId="46EDE7EB" w14:textId="77777777" w:rsidR="00333902" w:rsidRPr="00C77207" w:rsidRDefault="00333902" w:rsidP="008543B6">
            <w:pPr>
              <w:rPr>
                <w:rFonts w:cstheme="minorHAnsi"/>
                <w:bCs/>
                <w:color w:val="000000" w:themeColor="text1"/>
                <w:lang w:val="de-DE"/>
              </w:rPr>
            </w:pPr>
          </w:p>
          <w:p w14:paraId="2584E220" w14:textId="77777777" w:rsidR="00F805F3" w:rsidRPr="00C77207" w:rsidRDefault="00333902" w:rsidP="008543B6">
            <w:pPr>
              <w:rPr>
                <w:rFonts w:cstheme="minorHAnsi"/>
                <w:bCs/>
                <w:color w:val="000000" w:themeColor="text1"/>
                <w:lang w:val="de-DE"/>
              </w:rPr>
            </w:pPr>
            <w:r w:rsidRPr="00C77207">
              <w:rPr>
                <w:rFonts w:cstheme="minorHAnsi"/>
                <w:bCs/>
                <w:color w:val="000000" w:themeColor="text1"/>
                <w:lang w:val="de-DE"/>
              </w:rPr>
              <w:t xml:space="preserve">Da die Strafbarkeit von dem reinen Einwirken in entsprechender Absicht abhängt, ist nicht relevant, ob </w:t>
            </w:r>
            <w:r w:rsidR="009935DE" w:rsidRPr="00C77207">
              <w:rPr>
                <w:rFonts w:cstheme="minorHAnsi"/>
                <w:bCs/>
                <w:color w:val="000000" w:themeColor="text1"/>
                <w:lang w:val="de-DE"/>
              </w:rPr>
              <w:t>die eigentliche Tat, auf die hingewirkt wird, umgesetzt wird.</w:t>
            </w:r>
          </w:p>
          <w:p w14:paraId="3AED8428" w14:textId="77777777" w:rsidR="00B4581C" w:rsidRPr="00C77207" w:rsidRDefault="00B4581C" w:rsidP="008543B6">
            <w:pPr>
              <w:rPr>
                <w:rFonts w:cstheme="minorHAnsi"/>
                <w:bCs/>
                <w:color w:val="000000" w:themeColor="text1"/>
                <w:lang w:val="de-DE"/>
              </w:rPr>
            </w:pPr>
          </w:p>
          <w:p w14:paraId="4ED4B1D1" w14:textId="06E0C078" w:rsidR="00B4581C" w:rsidRPr="00C77207" w:rsidRDefault="00B4581C" w:rsidP="008543B6">
            <w:pPr>
              <w:rPr>
                <w:rFonts w:cstheme="minorHAnsi"/>
                <w:bCs/>
                <w:color w:val="000000" w:themeColor="text1"/>
                <w:lang w:val="de-DE"/>
              </w:rPr>
            </w:pPr>
            <w:r w:rsidRPr="00C77207">
              <w:rPr>
                <w:rFonts w:cstheme="minorHAnsi"/>
                <w:bCs/>
                <w:color w:val="000000" w:themeColor="text1"/>
                <w:lang w:val="de-DE"/>
              </w:rPr>
              <w:t xml:space="preserve">Die </w:t>
            </w:r>
            <w:r w:rsidR="00D453C9" w:rsidRPr="00C77207">
              <w:rPr>
                <w:rFonts w:cstheme="minorHAnsi"/>
                <w:bCs/>
                <w:color w:val="000000" w:themeColor="text1"/>
                <w:lang w:val="de-DE"/>
              </w:rPr>
              <w:t>Vorschrift zielt insbesondere auf das sogenannte „Cybergrooming“ ab.</w:t>
            </w:r>
            <w:r w:rsidR="00D453C9" w:rsidRPr="00C77207">
              <w:rPr>
                <w:rStyle w:val="FootnoteReference"/>
                <w:rFonts w:cstheme="minorHAnsi"/>
                <w:bCs/>
                <w:color w:val="000000" w:themeColor="text1"/>
                <w:lang w:val="de-DE"/>
              </w:rPr>
              <w:footnoteReference w:id="23"/>
            </w:r>
            <w:r w:rsidR="00A618BC" w:rsidRPr="00C77207">
              <w:rPr>
                <w:rFonts w:cstheme="minorHAnsi"/>
                <w:bCs/>
                <w:color w:val="000000" w:themeColor="text1"/>
                <w:lang w:val="de-DE"/>
              </w:rPr>
              <w:t xml:space="preserve"> Es genügt das Einwirken auf das Kind mittels Inhalten gem. § 11 Abs.</w:t>
            </w:r>
            <w:r w:rsidR="0013021C" w:rsidRPr="00C77207">
              <w:rPr>
                <w:rFonts w:cstheme="minorHAnsi"/>
                <w:bCs/>
                <w:color w:val="000000" w:themeColor="text1"/>
                <w:lang w:val="de-DE"/>
              </w:rPr>
              <w:t xml:space="preserve"> </w:t>
            </w:r>
            <w:r w:rsidR="00A618BC" w:rsidRPr="00C77207">
              <w:rPr>
                <w:rFonts w:cstheme="minorHAnsi"/>
                <w:bCs/>
                <w:color w:val="000000" w:themeColor="text1"/>
                <w:lang w:val="de-DE"/>
              </w:rPr>
              <w:t xml:space="preserve">3 StGB, weshalb nicht </w:t>
            </w:r>
            <w:r w:rsidR="00A618BC" w:rsidRPr="00C77207">
              <w:rPr>
                <w:rFonts w:cstheme="minorHAnsi"/>
                <w:bCs/>
                <w:color w:val="000000" w:themeColor="text1"/>
                <w:lang w:val="de-DE"/>
              </w:rPr>
              <w:lastRenderedPageBreak/>
              <w:t>zwischen einem verkörperten oder rein kommunikations-technologischen Einwirken unterschieden wird.</w:t>
            </w:r>
          </w:p>
        </w:tc>
      </w:tr>
      <w:tr w:rsidR="001C2BA0" w:rsidRPr="00F206A4" w14:paraId="2536DC31" w14:textId="77777777" w:rsidTr="00A57D8B">
        <w:trPr>
          <w:trHeight w:val="561"/>
        </w:trPr>
        <w:tc>
          <w:tcPr>
            <w:tcW w:w="425" w:type="dxa"/>
          </w:tcPr>
          <w:p w14:paraId="03E7A182" w14:textId="77777777" w:rsidR="001C2BA0" w:rsidRPr="00596A4B" w:rsidRDefault="001C2BA0" w:rsidP="001C2BA0">
            <w:pPr>
              <w:numPr>
                <w:ilvl w:val="0"/>
                <w:numId w:val="2"/>
              </w:numPr>
              <w:contextualSpacing/>
              <w:rPr>
                <w:rFonts w:ascii="Calibri" w:hAnsi="Calibri" w:cs="Calibri"/>
                <w:szCs w:val="28"/>
                <w:lang w:val="de-DE"/>
              </w:rPr>
            </w:pPr>
          </w:p>
        </w:tc>
        <w:tc>
          <w:tcPr>
            <w:tcW w:w="5387" w:type="dxa"/>
          </w:tcPr>
          <w:p w14:paraId="682BA688" w14:textId="761C0103" w:rsidR="001C2BA0" w:rsidRPr="001F7DD5" w:rsidRDefault="001F7DD5" w:rsidP="001C2BA0">
            <w:pPr>
              <w:rPr>
                <w:rFonts w:ascii="Calibri" w:hAnsi="Calibri" w:cs="Calibri"/>
                <w:color w:val="000000" w:themeColor="text1"/>
                <w:lang w:val="de-DE"/>
              </w:rPr>
            </w:pPr>
            <w:r w:rsidRPr="001F7DD5">
              <w:rPr>
                <w:rFonts w:ascii="Calibri" w:eastAsia="Calibri" w:hAnsi="Calibri" w:cs="Calibri"/>
                <w:color w:val="000000" w:themeColor="text1"/>
                <w:lang w:val="de-DE"/>
              </w:rPr>
              <w:t xml:space="preserve">Einführung von Rechtsvorschriften, die eine </w:t>
            </w:r>
            <w:r w:rsidRPr="001F7DD5">
              <w:rPr>
                <w:rFonts w:ascii="Calibri" w:eastAsia="Calibri" w:hAnsi="Calibri" w:cs="Calibri"/>
                <w:b/>
                <w:color w:val="000000" w:themeColor="text1"/>
                <w:lang w:val="de-DE"/>
              </w:rPr>
              <w:t>Überprüfung des strafrechtlichen Hintergrunds</w:t>
            </w:r>
            <w:r w:rsidRPr="001F7DD5">
              <w:rPr>
                <w:rFonts w:ascii="Calibri" w:eastAsia="Calibri" w:hAnsi="Calibri" w:cs="Calibri"/>
                <w:color w:val="000000" w:themeColor="text1"/>
                <w:lang w:val="de-DE"/>
              </w:rPr>
              <w:t xml:space="preserve"> für jede Person (Staatsangehörige oder Ausländer) vorschreiben, die sich um eine Arbeit mit oder für Kinder bewirbt oder die derzeit mit oder für Kinder arbeitet. Einführung von Rechtsvorschriften, die es verurteilten Sexualstraftätern verbieten, </w:t>
            </w:r>
            <w:r w:rsidR="007F0D8E">
              <w:rPr>
                <w:rFonts w:ascii="Calibri" w:eastAsia="Calibri" w:hAnsi="Calibri" w:cs="Calibri"/>
                <w:color w:val="000000" w:themeColor="text1"/>
                <w:lang w:val="de-DE"/>
              </w:rPr>
              <w:t>Tätigkeiten auszuüben</w:t>
            </w:r>
            <w:r w:rsidRPr="001F7DD5">
              <w:rPr>
                <w:rFonts w:ascii="Calibri" w:eastAsia="Calibri" w:hAnsi="Calibri" w:cs="Calibri"/>
                <w:color w:val="000000" w:themeColor="text1"/>
                <w:lang w:val="de-DE"/>
              </w:rPr>
              <w:t>, die den Kontakt zu Kindern beinhalten oder erleichtern.</w:t>
            </w:r>
          </w:p>
        </w:tc>
        <w:tc>
          <w:tcPr>
            <w:tcW w:w="1701" w:type="dxa"/>
          </w:tcPr>
          <w:p w14:paraId="6DA092FC" w14:textId="1F104584" w:rsidR="001C2BA0" w:rsidRPr="00F728B6" w:rsidRDefault="00C55A34" w:rsidP="001C2BA0">
            <w:pPr>
              <w:rPr>
                <w:rFonts w:ascii="Calibri" w:hAnsi="Calibri" w:cs="Calibri"/>
                <w:bCs/>
                <w:color w:val="000000" w:themeColor="text1"/>
                <w:lang w:val="en-GB"/>
              </w:rPr>
            </w:pPr>
            <w:proofErr w:type="spellStart"/>
            <w:r>
              <w:rPr>
                <w:rFonts w:ascii="Calibri" w:hAnsi="Calibri" w:cs="Calibri"/>
                <w:bCs/>
                <w:color w:val="000000" w:themeColor="text1"/>
                <w:lang w:val="en-GB"/>
              </w:rPr>
              <w:t>Teilweise</w:t>
            </w:r>
            <w:proofErr w:type="spellEnd"/>
          </w:p>
        </w:tc>
        <w:tc>
          <w:tcPr>
            <w:tcW w:w="5523" w:type="dxa"/>
          </w:tcPr>
          <w:p w14:paraId="5D0F06B2" w14:textId="18968981" w:rsidR="00187AAC" w:rsidRPr="00C77207" w:rsidRDefault="00187AAC" w:rsidP="008543B6">
            <w:pPr>
              <w:rPr>
                <w:rFonts w:cstheme="minorHAnsi"/>
                <w:bCs/>
                <w:color w:val="000000" w:themeColor="text1"/>
                <w:lang w:val="de-DE"/>
              </w:rPr>
            </w:pPr>
            <w:r w:rsidRPr="00C77207">
              <w:rPr>
                <w:rFonts w:cstheme="minorHAnsi"/>
                <w:bCs/>
                <w:color w:val="000000" w:themeColor="text1"/>
                <w:lang w:val="de-DE"/>
              </w:rPr>
              <w:t xml:space="preserve">Träger der öffentlichen Jugendhilfe dürfen gemäß § 72a </w:t>
            </w:r>
            <w:r w:rsidR="0086012F" w:rsidRPr="00C77207">
              <w:rPr>
                <w:rFonts w:cstheme="minorHAnsi"/>
                <w:bCs/>
                <w:color w:val="000000" w:themeColor="text1"/>
                <w:lang w:val="de-DE"/>
              </w:rPr>
              <w:t>Abs.</w:t>
            </w:r>
            <w:r w:rsidR="0013021C" w:rsidRPr="00C77207">
              <w:rPr>
                <w:rFonts w:cstheme="minorHAnsi"/>
                <w:bCs/>
                <w:color w:val="000000" w:themeColor="text1"/>
                <w:lang w:val="de-DE"/>
              </w:rPr>
              <w:t xml:space="preserve"> </w:t>
            </w:r>
            <w:r w:rsidR="0086012F" w:rsidRPr="00C77207">
              <w:rPr>
                <w:rFonts w:cstheme="minorHAnsi"/>
                <w:bCs/>
                <w:color w:val="000000" w:themeColor="text1"/>
                <w:lang w:val="de-DE"/>
              </w:rPr>
              <w:t>1 S.</w:t>
            </w:r>
            <w:r w:rsidR="0013021C" w:rsidRPr="00C77207">
              <w:rPr>
                <w:rFonts w:cstheme="minorHAnsi"/>
                <w:bCs/>
                <w:color w:val="000000" w:themeColor="text1"/>
                <w:lang w:val="de-DE"/>
              </w:rPr>
              <w:t xml:space="preserve"> </w:t>
            </w:r>
            <w:r w:rsidR="0086012F" w:rsidRPr="00C77207">
              <w:rPr>
                <w:rFonts w:cstheme="minorHAnsi"/>
                <w:bCs/>
                <w:color w:val="000000" w:themeColor="text1"/>
                <w:lang w:val="de-DE"/>
              </w:rPr>
              <w:t xml:space="preserve">1 </w:t>
            </w:r>
            <w:r w:rsidRPr="00C77207">
              <w:rPr>
                <w:rFonts w:cstheme="minorHAnsi"/>
                <w:bCs/>
                <w:color w:val="000000" w:themeColor="text1"/>
                <w:lang w:val="de-DE"/>
              </w:rPr>
              <w:t>SGB VIII in der Kinder- und Jugendhilfe keine einschlägig vorbestraften Personen beschäftigen.</w:t>
            </w:r>
          </w:p>
          <w:p w14:paraId="52C2B594" w14:textId="6225E46A" w:rsidR="00F728B6" w:rsidRPr="00C77207" w:rsidRDefault="0086012F" w:rsidP="008543B6">
            <w:pPr>
              <w:rPr>
                <w:rFonts w:cstheme="minorHAnsi"/>
                <w:bCs/>
                <w:color w:val="000000" w:themeColor="text1"/>
                <w:lang w:val="de-DE"/>
              </w:rPr>
            </w:pPr>
            <w:r w:rsidRPr="00C77207">
              <w:rPr>
                <w:rFonts w:cstheme="minorHAnsi"/>
                <w:bCs/>
                <w:color w:val="000000" w:themeColor="text1"/>
                <w:lang w:val="de-DE"/>
              </w:rPr>
              <w:t xml:space="preserve">Zur Kontrolle muss sowohl bei der Einstellung als auch in der weiteren Beschäftigung regelmäßig ein erweitertes Führungszeugnis nach </w:t>
            </w:r>
            <w:r w:rsidR="00F728B6" w:rsidRPr="00C77207">
              <w:rPr>
                <w:rFonts w:cstheme="minorHAnsi"/>
                <w:bCs/>
                <w:color w:val="000000" w:themeColor="text1"/>
                <w:lang w:val="de-DE"/>
              </w:rPr>
              <w:t xml:space="preserve">§ 30a </w:t>
            </w:r>
            <w:r w:rsidRPr="00C77207">
              <w:rPr>
                <w:rFonts w:cstheme="minorHAnsi"/>
                <w:bCs/>
                <w:color w:val="000000" w:themeColor="text1"/>
                <w:lang w:val="de-DE"/>
              </w:rPr>
              <w:t>Abs.</w:t>
            </w:r>
            <w:r w:rsidR="0013021C" w:rsidRPr="00C77207">
              <w:rPr>
                <w:rFonts w:cstheme="minorHAnsi"/>
                <w:bCs/>
                <w:color w:val="000000" w:themeColor="text1"/>
                <w:lang w:val="de-DE"/>
              </w:rPr>
              <w:t xml:space="preserve"> </w:t>
            </w:r>
            <w:r w:rsidRPr="00C77207">
              <w:rPr>
                <w:rFonts w:cstheme="minorHAnsi"/>
                <w:bCs/>
                <w:color w:val="000000" w:themeColor="text1"/>
                <w:lang w:val="de-DE"/>
              </w:rPr>
              <w:t>1 Nr. 2 BZRG angefordert werden.</w:t>
            </w:r>
            <w:r w:rsidR="0094293F" w:rsidRPr="00C77207">
              <w:rPr>
                <w:rFonts w:cstheme="minorHAnsi"/>
                <w:bCs/>
                <w:color w:val="000000" w:themeColor="text1"/>
                <w:lang w:val="de-DE"/>
              </w:rPr>
              <w:t xml:space="preserve"> Als Zeitrahmen für die Überprüfung kommen je nach Einzelsituation drei bis fünf Jahre in Betracht</w:t>
            </w:r>
            <w:r w:rsidR="00C050CA" w:rsidRPr="00C77207">
              <w:rPr>
                <w:rFonts w:cstheme="minorHAnsi"/>
                <w:bCs/>
                <w:color w:val="000000" w:themeColor="text1"/>
                <w:lang w:val="de-DE"/>
              </w:rPr>
              <w:t>, in der Praxis sind aber bis zu zehn Jahren vorgekommen</w:t>
            </w:r>
            <w:r w:rsidR="0094293F" w:rsidRPr="00C77207">
              <w:rPr>
                <w:rFonts w:cstheme="minorHAnsi"/>
                <w:bCs/>
                <w:color w:val="000000" w:themeColor="text1"/>
                <w:lang w:val="de-DE"/>
              </w:rPr>
              <w:t>.</w:t>
            </w:r>
            <w:r w:rsidR="0094293F" w:rsidRPr="00C77207">
              <w:rPr>
                <w:rStyle w:val="FootnoteReference"/>
                <w:rFonts w:cstheme="minorHAnsi"/>
                <w:bCs/>
                <w:color w:val="000000" w:themeColor="text1"/>
                <w:lang w:val="de-DE"/>
              </w:rPr>
              <w:footnoteReference w:id="24"/>
            </w:r>
            <w:r w:rsidR="0094293F" w:rsidRPr="00C77207">
              <w:rPr>
                <w:rFonts w:cstheme="minorHAnsi"/>
                <w:bCs/>
                <w:color w:val="000000" w:themeColor="text1"/>
                <w:lang w:val="de-DE"/>
              </w:rPr>
              <w:t xml:space="preserve"> </w:t>
            </w:r>
          </w:p>
          <w:p w14:paraId="62EFDB08" w14:textId="26B2ADF4" w:rsidR="00C050CA" w:rsidRPr="00C77207" w:rsidRDefault="00C050CA" w:rsidP="008543B6">
            <w:pPr>
              <w:rPr>
                <w:rFonts w:cstheme="minorHAnsi"/>
                <w:bCs/>
                <w:color w:val="000000" w:themeColor="text1"/>
                <w:lang w:val="de-DE"/>
              </w:rPr>
            </w:pPr>
          </w:p>
          <w:p w14:paraId="2FC840A2" w14:textId="62B8AC71" w:rsidR="00C050CA" w:rsidRPr="00C77207" w:rsidRDefault="00C050CA" w:rsidP="008543B6">
            <w:pPr>
              <w:rPr>
                <w:rFonts w:cstheme="minorHAnsi"/>
                <w:bCs/>
                <w:color w:val="000000" w:themeColor="text1"/>
                <w:lang w:val="de-DE"/>
              </w:rPr>
            </w:pPr>
            <w:r w:rsidRPr="00C77207">
              <w:rPr>
                <w:rFonts w:cstheme="minorHAnsi"/>
                <w:bCs/>
                <w:color w:val="000000" w:themeColor="text1"/>
                <w:lang w:val="de-DE"/>
              </w:rPr>
              <w:t>Zudem existiert nach § 72a Abs.</w:t>
            </w:r>
            <w:r w:rsidR="0013021C" w:rsidRPr="00C77207">
              <w:rPr>
                <w:rFonts w:cstheme="minorHAnsi"/>
                <w:bCs/>
                <w:color w:val="000000" w:themeColor="text1"/>
                <w:lang w:val="de-DE"/>
              </w:rPr>
              <w:t xml:space="preserve"> </w:t>
            </w:r>
            <w:r w:rsidRPr="00C77207">
              <w:rPr>
                <w:rFonts w:cstheme="minorHAnsi"/>
                <w:bCs/>
                <w:color w:val="000000" w:themeColor="text1"/>
                <w:lang w:val="de-DE"/>
              </w:rPr>
              <w:t>2 SGB VIII eine Sicherstellungsverpflichtung, nach der die öffentliche Jugendhilfe Vereinbarungen mit der freien Jugendhilfe</w:t>
            </w:r>
            <w:r w:rsidR="00CB661D" w:rsidRPr="00C77207">
              <w:rPr>
                <w:rFonts w:cstheme="minorHAnsi"/>
                <w:bCs/>
                <w:color w:val="000000" w:themeColor="text1"/>
                <w:lang w:val="de-DE"/>
              </w:rPr>
              <w:t xml:space="preserve"> zu treffen hat, die beinhalten, dass auch diese keine entsprechend vorbestraften Personen beschäftigt. So wird zwar unmittelbar nur die öffentliche Jugendhilfe verpflichtet. Die freie Jugendhilfe wird jedoch faktisch die Verpflichtung schon deswegen eingehen, weil sonst keine Förderungen nach bundes- oder landesrechtlichen Regelungen mehr zugesprochen würden.</w:t>
            </w:r>
            <w:r w:rsidR="00CB661D" w:rsidRPr="00C77207">
              <w:rPr>
                <w:rStyle w:val="FootnoteReference"/>
                <w:rFonts w:cstheme="minorHAnsi"/>
                <w:bCs/>
                <w:color w:val="000000" w:themeColor="text1"/>
                <w:lang w:val="de-DE"/>
              </w:rPr>
              <w:footnoteReference w:id="25"/>
            </w:r>
          </w:p>
          <w:p w14:paraId="4ECA102F" w14:textId="38DBBA16" w:rsidR="003C1739" w:rsidRPr="00C77207" w:rsidRDefault="003C1739" w:rsidP="008543B6">
            <w:pPr>
              <w:rPr>
                <w:rFonts w:cstheme="minorHAnsi"/>
                <w:bCs/>
                <w:color w:val="000000" w:themeColor="text1"/>
                <w:lang w:val="de-DE"/>
              </w:rPr>
            </w:pPr>
          </w:p>
          <w:p w14:paraId="607E9DC1" w14:textId="011257B1" w:rsidR="003C1739" w:rsidRPr="00C77207" w:rsidRDefault="003C1739" w:rsidP="008543B6">
            <w:pPr>
              <w:rPr>
                <w:rFonts w:cstheme="minorHAnsi"/>
                <w:bCs/>
                <w:color w:val="000000" w:themeColor="text1"/>
                <w:lang w:val="de-DE"/>
              </w:rPr>
            </w:pPr>
            <w:r w:rsidRPr="00C77207">
              <w:rPr>
                <w:rFonts w:cstheme="minorHAnsi"/>
                <w:bCs/>
                <w:color w:val="000000" w:themeColor="text1"/>
                <w:lang w:val="de-DE"/>
              </w:rPr>
              <w:t>Letztlich besteht nach § 72a Abs.</w:t>
            </w:r>
            <w:r w:rsidR="0013021C" w:rsidRPr="00C77207">
              <w:rPr>
                <w:rFonts w:cstheme="minorHAnsi"/>
                <w:bCs/>
                <w:color w:val="000000" w:themeColor="text1"/>
                <w:lang w:val="de-DE"/>
              </w:rPr>
              <w:t xml:space="preserve"> </w:t>
            </w:r>
            <w:r w:rsidR="00703822" w:rsidRPr="00C77207">
              <w:rPr>
                <w:rFonts w:cstheme="minorHAnsi"/>
                <w:bCs/>
                <w:color w:val="000000" w:themeColor="text1"/>
                <w:lang w:val="de-DE"/>
              </w:rPr>
              <w:t>3,</w:t>
            </w:r>
            <w:r w:rsidR="008663E5" w:rsidRPr="00C77207">
              <w:rPr>
                <w:rFonts w:cstheme="minorHAnsi"/>
                <w:bCs/>
                <w:color w:val="000000" w:themeColor="text1"/>
                <w:lang w:val="de-DE"/>
              </w:rPr>
              <w:t xml:space="preserve"> </w:t>
            </w:r>
            <w:r w:rsidR="00703822" w:rsidRPr="00C77207">
              <w:rPr>
                <w:rFonts w:cstheme="minorHAnsi"/>
                <w:bCs/>
                <w:color w:val="000000" w:themeColor="text1"/>
                <w:lang w:val="de-DE"/>
              </w:rPr>
              <w:t>4</w:t>
            </w:r>
            <w:r w:rsidRPr="00C77207">
              <w:rPr>
                <w:rFonts w:cstheme="minorHAnsi"/>
                <w:bCs/>
                <w:color w:val="000000" w:themeColor="text1"/>
                <w:lang w:val="de-DE"/>
              </w:rPr>
              <w:t xml:space="preserve"> SGB VIII eine weitere Sicherstellungsverpflichtung, nach der die öffentliche Jugendhilfe Vereinbarungen mit Trägern der freien Jugendhilfe und Vereinen treffen soll, die neben- oder ehrenamtlich tätige Personen betreffen. Hier wurde sich bewusst gegen eine einheitliche Regelung für alle mit Kindern und Jugendlichen in Kontakt stehenden entschieden.</w:t>
            </w:r>
            <w:r w:rsidRPr="00C77207">
              <w:rPr>
                <w:rStyle w:val="FootnoteReference"/>
                <w:rFonts w:cstheme="minorHAnsi"/>
                <w:bCs/>
                <w:color w:val="000000" w:themeColor="text1"/>
                <w:lang w:val="de-DE"/>
              </w:rPr>
              <w:footnoteReference w:id="26"/>
            </w:r>
            <w:r w:rsidR="00E2509C" w:rsidRPr="00C77207">
              <w:rPr>
                <w:rFonts w:cstheme="minorHAnsi"/>
                <w:bCs/>
                <w:color w:val="000000" w:themeColor="text1"/>
                <w:lang w:val="de-DE"/>
              </w:rPr>
              <w:t xml:space="preserve"> </w:t>
            </w:r>
            <w:r w:rsidR="0013021C" w:rsidRPr="00C77207">
              <w:rPr>
                <w:rFonts w:cstheme="minorHAnsi"/>
                <w:bCs/>
                <w:color w:val="000000" w:themeColor="text1"/>
                <w:lang w:val="de-DE"/>
              </w:rPr>
              <w:t>Stattdessen</w:t>
            </w:r>
            <w:r w:rsidR="00E2509C" w:rsidRPr="00C77207">
              <w:rPr>
                <w:rFonts w:cstheme="minorHAnsi"/>
                <w:bCs/>
                <w:color w:val="000000" w:themeColor="text1"/>
                <w:lang w:val="de-DE"/>
              </w:rPr>
              <w:t xml:space="preserve"> soll zur Wahrung des </w:t>
            </w:r>
            <w:r w:rsidR="00E2509C" w:rsidRPr="00C77207">
              <w:rPr>
                <w:rFonts w:cstheme="minorHAnsi"/>
                <w:bCs/>
                <w:color w:val="000000" w:themeColor="text1"/>
                <w:lang w:val="de-DE"/>
              </w:rPr>
              <w:lastRenderedPageBreak/>
              <w:t xml:space="preserve">Grundsatzes der Verhältnismäßigkeit der Einzelfall nach Art, Intensität und Dauer des Kontakts mit Kindern und Jugendlichen beurteilt werden. Hieraus ergibt sich eine hohe Rechtsunsicherheit. </w:t>
            </w:r>
            <w:r w:rsidR="00703822" w:rsidRPr="00C77207">
              <w:rPr>
                <w:rFonts w:cstheme="minorHAnsi"/>
                <w:bCs/>
                <w:color w:val="000000" w:themeColor="text1"/>
                <w:lang w:val="de-DE"/>
              </w:rPr>
              <w:t>Welche Art von Tätigkeit die Einsichtnahme in das Führungszeugnis fordert, muss der Träger der öffentlichen Jugendhilfe entscheiden.</w:t>
            </w:r>
          </w:p>
          <w:p w14:paraId="07F7931F" w14:textId="77777777" w:rsidR="00703822" w:rsidRPr="00C77207" w:rsidRDefault="00703822" w:rsidP="008543B6">
            <w:pPr>
              <w:rPr>
                <w:rFonts w:cstheme="minorHAnsi"/>
                <w:bCs/>
                <w:color w:val="000000" w:themeColor="text1"/>
                <w:lang w:val="de-DE"/>
              </w:rPr>
            </w:pPr>
          </w:p>
          <w:p w14:paraId="0EF69821" w14:textId="4B61E41C" w:rsidR="00F728B6" w:rsidRPr="00C77207" w:rsidRDefault="00703822" w:rsidP="008543B6">
            <w:pPr>
              <w:rPr>
                <w:rFonts w:cstheme="minorHAnsi"/>
                <w:bCs/>
                <w:color w:val="000000" w:themeColor="text1"/>
                <w:lang w:val="de-DE"/>
              </w:rPr>
            </w:pPr>
            <w:r w:rsidRPr="00C77207">
              <w:rPr>
                <w:rFonts w:cstheme="minorHAnsi"/>
                <w:bCs/>
                <w:color w:val="000000" w:themeColor="text1"/>
                <w:lang w:val="de-DE"/>
              </w:rPr>
              <w:t xml:space="preserve">Ergänzend hierzu sind </w:t>
            </w:r>
            <w:r w:rsidR="00F728B6" w:rsidRPr="00C77207">
              <w:rPr>
                <w:rFonts w:cstheme="minorHAnsi"/>
                <w:bCs/>
                <w:color w:val="000000" w:themeColor="text1"/>
                <w:lang w:val="de-DE"/>
              </w:rPr>
              <w:t xml:space="preserve">interne Vorschriften </w:t>
            </w:r>
            <w:r w:rsidRPr="00C77207">
              <w:rPr>
                <w:rFonts w:cstheme="minorHAnsi"/>
                <w:bCs/>
                <w:color w:val="000000" w:themeColor="text1"/>
                <w:lang w:val="de-DE"/>
              </w:rPr>
              <w:t xml:space="preserve">insbesondere </w:t>
            </w:r>
            <w:r w:rsidR="00F728B6" w:rsidRPr="00C77207">
              <w:rPr>
                <w:rFonts w:cstheme="minorHAnsi"/>
                <w:bCs/>
                <w:color w:val="000000" w:themeColor="text1"/>
                <w:lang w:val="de-DE"/>
              </w:rPr>
              <w:t>im kirchlichen Bereich möglich</w:t>
            </w:r>
            <w:r w:rsidRPr="00C77207">
              <w:rPr>
                <w:rFonts w:cstheme="minorHAnsi"/>
                <w:bCs/>
                <w:color w:val="000000" w:themeColor="text1"/>
                <w:lang w:val="de-DE"/>
              </w:rPr>
              <w:t>.</w:t>
            </w:r>
          </w:p>
        </w:tc>
      </w:tr>
      <w:tr w:rsidR="001C2BA0" w:rsidRPr="00F206A4" w14:paraId="0AE1EEC4" w14:textId="77777777" w:rsidTr="00A57D8B">
        <w:trPr>
          <w:trHeight w:val="561"/>
        </w:trPr>
        <w:tc>
          <w:tcPr>
            <w:tcW w:w="425" w:type="dxa"/>
          </w:tcPr>
          <w:p w14:paraId="44AA121A" w14:textId="77777777" w:rsidR="001C2BA0" w:rsidRPr="00F728B6" w:rsidRDefault="001C2BA0" w:rsidP="001C2BA0">
            <w:pPr>
              <w:numPr>
                <w:ilvl w:val="0"/>
                <w:numId w:val="2"/>
              </w:numPr>
              <w:contextualSpacing/>
              <w:rPr>
                <w:rFonts w:ascii="Calibri" w:hAnsi="Calibri" w:cs="Calibri"/>
                <w:szCs w:val="28"/>
                <w:lang w:val="de-DE"/>
              </w:rPr>
            </w:pPr>
          </w:p>
        </w:tc>
        <w:tc>
          <w:tcPr>
            <w:tcW w:w="5387" w:type="dxa"/>
          </w:tcPr>
          <w:p w14:paraId="4B85422A" w14:textId="162E1A57" w:rsidR="001C2BA0" w:rsidRPr="001F7DD5" w:rsidRDefault="001F7DD5" w:rsidP="001C2BA0">
            <w:pPr>
              <w:rPr>
                <w:rFonts w:ascii="Calibri" w:hAnsi="Calibri" w:cs="Calibri"/>
                <w:color w:val="000000" w:themeColor="text1"/>
                <w:lang w:val="de-DE"/>
              </w:rPr>
            </w:pPr>
            <w:r w:rsidRPr="001F7DD5">
              <w:rPr>
                <w:rFonts w:ascii="Calibri" w:eastAsia="Calibri" w:hAnsi="Calibri" w:cs="Calibri"/>
                <w:color w:val="000000" w:themeColor="text1"/>
                <w:lang w:val="de-DE"/>
              </w:rPr>
              <w:t xml:space="preserve">Regulierung und Überwachung des Einsatzes von Freiwilligen (auch im Rahmen des </w:t>
            </w:r>
            <w:r w:rsidRPr="001F7DD5">
              <w:rPr>
                <w:rFonts w:ascii="Calibri" w:eastAsia="Calibri" w:hAnsi="Calibri" w:cs="Calibri"/>
                <w:b/>
                <w:color w:val="000000" w:themeColor="text1"/>
                <w:lang w:val="de-DE"/>
              </w:rPr>
              <w:t>„Voluntourismus“</w:t>
            </w:r>
            <w:r w:rsidRPr="001F7DD5">
              <w:rPr>
                <w:rFonts w:ascii="Calibri" w:eastAsia="Calibri" w:hAnsi="Calibri" w:cs="Calibri"/>
                <w:color w:val="000000" w:themeColor="text1"/>
                <w:lang w:val="de-DE"/>
              </w:rPr>
              <w:t>) in Einrichtungen und bei Aktivitäten, die einen direkten Kontakt mit Kindern beinhalten</w:t>
            </w:r>
            <w:r w:rsidR="008855C1">
              <w:rPr>
                <w:rFonts w:ascii="Calibri" w:eastAsia="Calibri" w:hAnsi="Calibri" w:cs="Calibri"/>
                <w:color w:val="000000" w:themeColor="text1"/>
                <w:lang w:val="de-DE"/>
              </w:rPr>
              <w:t>;</w:t>
            </w:r>
            <w:r w:rsidRPr="001F7DD5">
              <w:rPr>
                <w:rFonts w:ascii="Calibri" w:eastAsia="Calibri" w:hAnsi="Calibri" w:cs="Calibri"/>
                <w:color w:val="000000" w:themeColor="text1"/>
                <w:lang w:val="de-DE"/>
              </w:rPr>
              <w:t xml:space="preserve"> insbesondere Verbot von Besuchen in Waisenhäusern/ Heimen zugunsten einer </w:t>
            </w:r>
            <w:r w:rsidR="00794D1E">
              <w:rPr>
                <w:rFonts w:ascii="Calibri" w:eastAsia="Calibri" w:hAnsi="Calibri" w:cs="Calibri"/>
                <w:color w:val="000000" w:themeColor="text1"/>
                <w:lang w:val="de-DE"/>
              </w:rPr>
              <w:t>Umorientierung</w:t>
            </w:r>
            <w:r w:rsidRPr="001F7DD5">
              <w:rPr>
                <w:rFonts w:ascii="Calibri" w:eastAsia="Calibri" w:hAnsi="Calibri" w:cs="Calibri"/>
                <w:color w:val="000000" w:themeColor="text1"/>
                <w:lang w:val="de-DE"/>
              </w:rPr>
              <w:t xml:space="preserve"> der Branche auf Lösungen, die eine gemeinde</w:t>
            </w:r>
            <w:r w:rsidR="00794D1E">
              <w:rPr>
                <w:rFonts w:ascii="Calibri" w:eastAsia="Calibri" w:hAnsi="Calibri" w:cs="Calibri"/>
                <w:color w:val="000000" w:themeColor="text1"/>
                <w:lang w:val="de-DE"/>
              </w:rPr>
              <w:t>basierte</w:t>
            </w:r>
            <w:r w:rsidRPr="001F7DD5">
              <w:rPr>
                <w:rFonts w:ascii="Calibri" w:eastAsia="Calibri" w:hAnsi="Calibri" w:cs="Calibri"/>
                <w:color w:val="000000" w:themeColor="text1"/>
                <w:lang w:val="de-DE"/>
              </w:rPr>
              <w:t xml:space="preserve"> Betreuung unterstützen.</w:t>
            </w:r>
          </w:p>
        </w:tc>
        <w:tc>
          <w:tcPr>
            <w:tcW w:w="1701" w:type="dxa"/>
          </w:tcPr>
          <w:p w14:paraId="5248337A" w14:textId="15CAFC7C" w:rsidR="001C2BA0" w:rsidRPr="00C85330" w:rsidRDefault="00C55A34" w:rsidP="001C2BA0">
            <w:pPr>
              <w:rPr>
                <w:rFonts w:ascii="Calibri" w:hAnsi="Calibri" w:cs="Calibri"/>
                <w:bCs/>
                <w:color w:val="000000" w:themeColor="text1"/>
                <w:lang w:val="en-GB"/>
              </w:rPr>
            </w:pPr>
            <w:proofErr w:type="spellStart"/>
            <w:r>
              <w:rPr>
                <w:rFonts w:ascii="Calibri" w:hAnsi="Calibri" w:cs="Calibri"/>
                <w:bCs/>
                <w:color w:val="000000" w:themeColor="text1"/>
                <w:lang w:val="en-GB"/>
              </w:rPr>
              <w:t>Teilweise</w:t>
            </w:r>
            <w:proofErr w:type="spellEnd"/>
          </w:p>
        </w:tc>
        <w:tc>
          <w:tcPr>
            <w:tcW w:w="5523" w:type="dxa"/>
          </w:tcPr>
          <w:p w14:paraId="36EBB094" w14:textId="2B5FD2FE" w:rsidR="001C2BA0" w:rsidRPr="00C77207" w:rsidRDefault="00C85330" w:rsidP="008543B6">
            <w:pPr>
              <w:rPr>
                <w:rFonts w:cstheme="minorHAnsi"/>
                <w:lang w:val="de-DE"/>
              </w:rPr>
            </w:pPr>
            <w:r w:rsidRPr="00C77207">
              <w:rPr>
                <w:rFonts w:cstheme="minorHAnsi"/>
                <w:lang w:val="de-DE"/>
              </w:rPr>
              <w:t>Es gibt keine nationalen Vorschriften, die den Einsatz von Freiwilligen mit direktem Kontakt zu Kindern regulieren oder gar verbieten. Für einen Teil der Freiwilligenarbeit existieren spezielle Vorschriften, etwa das Bundesfreiwilligendienstgesetz (BFDG) für den Bundesfreiwilligendienst, das Jugendfreiwilligendienstgesetz (JFDG) für das freiwillige soziale und das freiwillige ökologische Jahr oder die Förderleitlinie zur Umsetzung des Entwicklungspolitischen Freiwilligendienstes weltwärts.</w:t>
            </w:r>
            <w:r w:rsidR="00B05B9F" w:rsidRPr="00C77207">
              <w:rPr>
                <w:rStyle w:val="FootnoteReference"/>
                <w:rFonts w:cstheme="minorHAnsi"/>
                <w:lang w:val="de-DE"/>
              </w:rPr>
              <w:footnoteReference w:id="27"/>
            </w:r>
            <w:r w:rsidRPr="00C77207">
              <w:rPr>
                <w:rFonts w:cstheme="minorHAnsi"/>
                <w:lang w:val="de-DE"/>
              </w:rPr>
              <w:t xml:space="preserve"> In all diesen Vorschriften wird aber lediglich allgemein eine fachliche und pädagogische Begleitung und ein Zertifizierungsverfahren für Einsatzstellen vorgeschrieben. Spezielle Kinderschutzvorschriften für die Kinder in den Einsatzländern gibt es nicht. </w:t>
            </w:r>
            <w:r w:rsidR="00B05B9F" w:rsidRPr="00C77207">
              <w:rPr>
                <w:rFonts w:cstheme="minorHAnsi"/>
                <w:lang w:val="de-DE"/>
              </w:rPr>
              <w:t>Darüberhinausgehende</w:t>
            </w:r>
            <w:r w:rsidRPr="00C77207">
              <w:rPr>
                <w:rFonts w:cstheme="minorHAnsi"/>
                <w:lang w:val="de-DE"/>
              </w:rPr>
              <w:t xml:space="preserve"> Angebote privater Anbieter, vor allem im Bereich des sog. Voluntourismus, unterliegen selbst diesen Vorschriften nicht. Jedoch kann nach § 30a BZRG eine Person, die eine berufliche oder ehrenamtliche Tätigkeit mit regelmäßigem Kontakt zu Minderjährigen ausübt oder ausüben will, ein erweitertes Führungszeugnis beantragen. Das erweiterte Führungszeugnis enthält insbesondere Informationen über </w:t>
            </w:r>
            <w:r w:rsidRPr="00C77207">
              <w:rPr>
                <w:rFonts w:cstheme="minorHAnsi"/>
                <w:lang w:val="de-DE"/>
              </w:rPr>
              <w:lastRenderedPageBreak/>
              <w:t>Verurteilungen im Bereich der Sexualdelikte und des Kinder- und Jugendschutzes. Anbieter von Voluntourismus könnten die Entsendung von der Vorlage eines solchen Zeugnisses abhängig machen, sind hierzu jedoch nicht verpflichtet. Sie haben auch kein Recht, das erweiterte Führungszeugnis eigenständig zu beantragen.</w:t>
            </w:r>
          </w:p>
        </w:tc>
      </w:tr>
      <w:tr w:rsidR="001C2BA0" w:rsidRPr="00F206A4" w14:paraId="59165BCC" w14:textId="77777777" w:rsidTr="00A57D8B">
        <w:trPr>
          <w:trHeight w:val="2826"/>
        </w:trPr>
        <w:tc>
          <w:tcPr>
            <w:tcW w:w="425" w:type="dxa"/>
          </w:tcPr>
          <w:p w14:paraId="1891963E" w14:textId="77777777" w:rsidR="001C2BA0" w:rsidRPr="00C85330" w:rsidRDefault="001C2BA0" w:rsidP="001C2BA0">
            <w:pPr>
              <w:numPr>
                <w:ilvl w:val="0"/>
                <w:numId w:val="2"/>
              </w:numPr>
              <w:contextualSpacing/>
              <w:rPr>
                <w:rFonts w:ascii="Calibri" w:hAnsi="Calibri" w:cs="Calibri"/>
                <w:szCs w:val="28"/>
                <w:lang w:val="de-DE"/>
              </w:rPr>
            </w:pPr>
          </w:p>
        </w:tc>
        <w:tc>
          <w:tcPr>
            <w:tcW w:w="5387" w:type="dxa"/>
          </w:tcPr>
          <w:p w14:paraId="243D957A" w14:textId="48389978" w:rsidR="001C2BA0" w:rsidRPr="006A369F" w:rsidRDefault="006A369F" w:rsidP="001C2BA0">
            <w:pPr>
              <w:rPr>
                <w:rFonts w:ascii="Calibri" w:hAnsi="Calibri" w:cs="Calibri"/>
                <w:color w:val="000000" w:themeColor="text1"/>
                <w:lang w:val="de-DE"/>
              </w:rPr>
            </w:pPr>
            <w:r w:rsidRPr="006A369F">
              <w:rPr>
                <w:rFonts w:ascii="Calibri" w:eastAsia="Calibri" w:hAnsi="Calibri" w:cs="Calibri"/>
                <w:color w:val="000000" w:themeColor="text1"/>
                <w:lang w:val="de-DE"/>
              </w:rPr>
              <w:t xml:space="preserve">Ratifizierung und Umsetzung </w:t>
            </w:r>
            <w:r w:rsidR="00794D1E">
              <w:rPr>
                <w:rFonts w:ascii="Calibri" w:eastAsia="Calibri" w:hAnsi="Calibri" w:cs="Calibri"/>
                <w:color w:val="000000" w:themeColor="text1"/>
                <w:lang w:val="de-DE"/>
              </w:rPr>
              <w:t xml:space="preserve">der entsprechenden </w:t>
            </w:r>
            <w:r w:rsidRPr="006A369F">
              <w:rPr>
                <w:rFonts w:ascii="Calibri" w:eastAsia="Calibri" w:hAnsi="Calibri" w:cs="Calibri"/>
                <w:b/>
                <w:color w:val="000000" w:themeColor="text1"/>
                <w:lang w:val="de-DE"/>
              </w:rPr>
              <w:t>regionale</w:t>
            </w:r>
            <w:r w:rsidR="00794D1E">
              <w:rPr>
                <w:rFonts w:ascii="Calibri" w:eastAsia="Calibri" w:hAnsi="Calibri" w:cs="Calibri"/>
                <w:b/>
                <w:color w:val="000000" w:themeColor="text1"/>
                <w:lang w:val="de-DE"/>
              </w:rPr>
              <w:t>n</w:t>
            </w:r>
            <w:r w:rsidRPr="006A369F">
              <w:rPr>
                <w:rFonts w:ascii="Calibri" w:eastAsia="Calibri" w:hAnsi="Calibri" w:cs="Calibri"/>
                <w:b/>
                <w:color w:val="000000" w:themeColor="text1"/>
                <w:lang w:val="de-DE"/>
              </w:rPr>
              <w:t xml:space="preserve"> und internationale</w:t>
            </w:r>
            <w:r w:rsidR="00794D1E">
              <w:rPr>
                <w:rFonts w:ascii="Calibri" w:eastAsia="Calibri" w:hAnsi="Calibri" w:cs="Calibri"/>
                <w:b/>
                <w:color w:val="000000" w:themeColor="text1"/>
                <w:lang w:val="de-DE"/>
              </w:rPr>
              <w:t>n</w:t>
            </w:r>
            <w:r w:rsidRPr="006A369F">
              <w:rPr>
                <w:rFonts w:ascii="Calibri" w:eastAsia="Calibri" w:hAnsi="Calibri" w:cs="Calibri"/>
                <w:b/>
                <w:color w:val="000000" w:themeColor="text1"/>
                <w:lang w:val="de-DE"/>
              </w:rPr>
              <w:t xml:space="preserve"> Übereinkommen</w:t>
            </w:r>
            <w:r w:rsidRPr="006A369F">
              <w:rPr>
                <w:rFonts w:ascii="Calibri" w:eastAsia="Calibri" w:hAnsi="Calibri" w:cs="Calibri"/>
                <w:color w:val="000000" w:themeColor="text1"/>
                <w:lang w:val="de-DE"/>
              </w:rPr>
              <w:t xml:space="preserve"> im Zusammenhang mit Kinderrechten und der sexuellen Ausbeutung von Kindern.</w:t>
            </w:r>
          </w:p>
        </w:tc>
        <w:tc>
          <w:tcPr>
            <w:tcW w:w="1701" w:type="dxa"/>
          </w:tcPr>
          <w:p w14:paraId="699C31B3" w14:textId="5307AFC7" w:rsidR="001C2BA0" w:rsidRPr="00A57D8B" w:rsidRDefault="00C55A34" w:rsidP="001C2BA0">
            <w:pPr>
              <w:rPr>
                <w:rFonts w:ascii="Calibri" w:hAnsi="Calibri" w:cs="Calibri"/>
                <w:bCs/>
                <w:color w:val="000000" w:themeColor="text1"/>
                <w:lang w:val="en-GB"/>
              </w:rPr>
            </w:pPr>
            <w:proofErr w:type="spellStart"/>
            <w:r>
              <w:rPr>
                <w:rFonts w:ascii="Calibri" w:hAnsi="Calibri" w:cs="Calibri"/>
                <w:bCs/>
                <w:color w:val="000000" w:themeColor="text1"/>
                <w:lang w:val="en-GB"/>
              </w:rPr>
              <w:t>Teilweise</w:t>
            </w:r>
            <w:proofErr w:type="spellEnd"/>
          </w:p>
        </w:tc>
        <w:tc>
          <w:tcPr>
            <w:tcW w:w="5523" w:type="dxa"/>
          </w:tcPr>
          <w:p w14:paraId="17999B70" w14:textId="189F6CFF" w:rsidR="00C85330" w:rsidRPr="00C77207" w:rsidRDefault="00C85330" w:rsidP="008543B6">
            <w:pPr>
              <w:rPr>
                <w:rFonts w:cstheme="minorHAnsi"/>
                <w:lang w:val="de-DE"/>
              </w:rPr>
            </w:pPr>
            <w:r w:rsidRPr="00C77207">
              <w:rPr>
                <w:rFonts w:cstheme="minorHAnsi"/>
                <w:lang w:val="de-DE"/>
              </w:rPr>
              <w:t>Deutschland hat folgende Übereinkommen ratifiziert:</w:t>
            </w:r>
          </w:p>
          <w:p w14:paraId="7AECE024" w14:textId="39864EC5" w:rsidR="00C85330" w:rsidRPr="00C77207" w:rsidRDefault="00C85330" w:rsidP="008543B6">
            <w:pPr>
              <w:rPr>
                <w:rFonts w:cstheme="minorHAnsi"/>
                <w:lang w:val="de-DE"/>
              </w:rPr>
            </w:pPr>
            <w:r w:rsidRPr="00C77207">
              <w:rPr>
                <w:rFonts w:cstheme="minorHAnsi"/>
                <w:lang w:val="de-DE"/>
              </w:rPr>
              <w:t>- Das Übereinkommen über die Rechte des Kindes (CRC)</w:t>
            </w:r>
            <w:r w:rsidR="008663E5" w:rsidRPr="00C77207">
              <w:rPr>
                <w:rStyle w:val="FootnoteReference"/>
                <w:rFonts w:cstheme="minorHAnsi"/>
                <w:lang w:val="de-DE"/>
              </w:rPr>
              <w:footnoteReference w:id="28"/>
            </w:r>
            <w:r w:rsidRPr="00C77207">
              <w:rPr>
                <w:rFonts w:cstheme="minorHAnsi"/>
                <w:lang w:val="de-DE"/>
              </w:rPr>
              <w:t xml:space="preserve"> </w:t>
            </w:r>
          </w:p>
          <w:p w14:paraId="6C5FB7B7" w14:textId="3A1D8958" w:rsidR="00C85330" w:rsidRPr="00C77207" w:rsidRDefault="00C85330" w:rsidP="008543B6">
            <w:pPr>
              <w:rPr>
                <w:rFonts w:cstheme="minorHAnsi"/>
                <w:lang w:val="de-DE"/>
              </w:rPr>
            </w:pPr>
            <w:r w:rsidRPr="00C77207">
              <w:rPr>
                <w:rFonts w:cstheme="minorHAnsi"/>
                <w:lang w:val="de-DE"/>
              </w:rPr>
              <w:t>- Das zweite Fakultativprotokoll über den Verkauf von Kindern, die Kinderprostitution und Kinderpornografie (OPSC)</w:t>
            </w:r>
            <w:r w:rsidR="007B50B3" w:rsidRPr="00C77207">
              <w:rPr>
                <w:rStyle w:val="FootnoteReference"/>
                <w:rFonts w:cstheme="minorHAnsi"/>
                <w:lang w:val="de-DE"/>
              </w:rPr>
              <w:footnoteReference w:id="29"/>
            </w:r>
            <w:r w:rsidRPr="00C77207">
              <w:rPr>
                <w:rFonts w:cstheme="minorHAnsi"/>
                <w:lang w:val="de-DE"/>
              </w:rPr>
              <w:t xml:space="preserve"> </w:t>
            </w:r>
          </w:p>
          <w:p w14:paraId="2F17E463" w14:textId="45C22D2C" w:rsidR="00C85330" w:rsidRPr="00C77207" w:rsidRDefault="00C85330" w:rsidP="008543B6">
            <w:pPr>
              <w:rPr>
                <w:rFonts w:cstheme="minorHAnsi"/>
                <w:lang w:val="de-DE"/>
              </w:rPr>
            </w:pPr>
            <w:r w:rsidRPr="00C77207">
              <w:rPr>
                <w:rFonts w:cstheme="minorHAnsi"/>
                <w:lang w:val="de-DE"/>
              </w:rPr>
              <w:t>- Das dritte Fakultativprotokoll über ein Individualbeschwerdeverfahren für Kinder</w:t>
            </w:r>
            <w:r w:rsidR="007B50B3" w:rsidRPr="00C77207">
              <w:rPr>
                <w:rStyle w:val="FootnoteReference"/>
                <w:rFonts w:cstheme="minorHAnsi"/>
                <w:lang w:val="de-DE"/>
              </w:rPr>
              <w:footnoteReference w:id="30"/>
            </w:r>
            <w:r w:rsidRPr="00C77207">
              <w:rPr>
                <w:rFonts w:cstheme="minorHAnsi"/>
                <w:lang w:val="de-DE"/>
              </w:rPr>
              <w:t xml:space="preserve"> </w:t>
            </w:r>
          </w:p>
          <w:p w14:paraId="42A17C03" w14:textId="3F9151D9" w:rsidR="00C85330" w:rsidRPr="00C77207" w:rsidRDefault="00C85330" w:rsidP="008543B6">
            <w:pPr>
              <w:rPr>
                <w:rFonts w:cstheme="minorHAnsi"/>
                <w:lang w:val="de-DE"/>
              </w:rPr>
            </w:pPr>
            <w:r w:rsidRPr="00C77207">
              <w:rPr>
                <w:rFonts w:cstheme="minorHAnsi"/>
                <w:lang w:val="de-DE"/>
              </w:rPr>
              <w:t xml:space="preserve">- Das Übereinkommen gegen die grenzüberschreitende organisierte Kriminalität </w:t>
            </w:r>
            <w:r w:rsidR="008663E5" w:rsidRPr="00C77207">
              <w:rPr>
                <w:rStyle w:val="FootnoteReference"/>
                <w:rFonts w:cstheme="minorHAnsi"/>
                <w:lang w:val="de-DE"/>
              </w:rPr>
              <w:footnoteReference w:id="31"/>
            </w:r>
          </w:p>
          <w:p w14:paraId="481F54F5" w14:textId="29990E4A" w:rsidR="00C85330" w:rsidRPr="00C77207" w:rsidRDefault="00C85330" w:rsidP="008543B6">
            <w:pPr>
              <w:rPr>
                <w:rFonts w:cstheme="minorHAnsi"/>
                <w:lang w:val="de-DE"/>
              </w:rPr>
            </w:pPr>
            <w:r w:rsidRPr="00C77207">
              <w:rPr>
                <w:rFonts w:cstheme="minorHAnsi"/>
                <w:lang w:val="de-DE"/>
              </w:rPr>
              <w:t>- Das Zusatzprotokoll zur Verhütung, Bekämpfung und Bestrafung des Menschenhandels, insbesondere des Frauen- und Kinderhandels zu dem Übereinkommen gegen die grenzüberschreitende organisierte Kriminalität</w:t>
            </w:r>
            <w:r w:rsidR="00AC5D7F" w:rsidRPr="00C77207">
              <w:rPr>
                <w:rStyle w:val="FootnoteReference"/>
                <w:rFonts w:cstheme="minorHAnsi"/>
                <w:lang w:val="de-DE"/>
              </w:rPr>
              <w:footnoteReference w:id="32"/>
            </w:r>
          </w:p>
          <w:p w14:paraId="750B1AFC" w14:textId="0848B1E7" w:rsidR="00C85330" w:rsidRPr="00C77207" w:rsidRDefault="00C85330" w:rsidP="008543B6">
            <w:pPr>
              <w:rPr>
                <w:rFonts w:cstheme="minorHAnsi"/>
                <w:lang w:val="de-DE"/>
              </w:rPr>
            </w:pPr>
            <w:r w:rsidRPr="00C77207">
              <w:rPr>
                <w:rFonts w:cstheme="minorHAnsi"/>
                <w:lang w:val="de-DE"/>
              </w:rPr>
              <w:lastRenderedPageBreak/>
              <w:t>- Das Übereinkommen Nr. 182 der Internationalen Arbeitsorganisation (ILO) über das Verbot und unverzügliche Maßnahmen zur Beseitigung der schlimmsten Formen der Kinderarbeit</w:t>
            </w:r>
            <w:r w:rsidR="008663E5" w:rsidRPr="00C77207">
              <w:rPr>
                <w:rStyle w:val="FootnoteReference"/>
                <w:rFonts w:cstheme="minorHAnsi"/>
                <w:lang w:val="de-DE"/>
              </w:rPr>
              <w:footnoteReference w:id="33"/>
            </w:r>
          </w:p>
          <w:p w14:paraId="46172989" w14:textId="41FE6D3B" w:rsidR="00C85330" w:rsidRPr="00C77207" w:rsidRDefault="00C85330" w:rsidP="008543B6">
            <w:pPr>
              <w:rPr>
                <w:rFonts w:cstheme="minorHAnsi"/>
                <w:lang w:val="de-DE"/>
              </w:rPr>
            </w:pPr>
            <w:r w:rsidRPr="00C77207">
              <w:rPr>
                <w:rFonts w:cstheme="minorHAnsi"/>
                <w:lang w:val="de-DE"/>
              </w:rPr>
              <w:t>- Das Übereinkommen des Europarats zum Schutz von Kindern vor sexueller Ausbeutung und sexuellem Missbrauch (Lanzarote-Konvention).</w:t>
            </w:r>
            <w:r w:rsidR="004548D9" w:rsidRPr="00C77207">
              <w:rPr>
                <w:rStyle w:val="FootnoteReference"/>
                <w:rFonts w:cstheme="minorHAnsi"/>
                <w:lang w:val="de-DE"/>
              </w:rPr>
              <w:footnoteReference w:id="34"/>
            </w:r>
            <w:r w:rsidRPr="00C77207">
              <w:rPr>
                <w:rFonts w:cstheme="minorHAnsi"/>
                <w:lang w:val="de-DE"/>
              </w:rPr>
              <w:t xml:space="preserve"> Deutschland hat jedoch folgende relevante Vorbehalte gegen das Übereinkommen erklärt: </w:t>
            </w:r>
            <w:r w:rsidR="004548D9" w:rsidRPr="00C77207">
              <w:rPr>
                <w:rStyle w:val="FootnoteReference"/>
                <w:rFonts w:cstheme="minorHAnsi"/>
                <w:lang w:val="de-DE"/>
              </w:rPr>
              <w:footnoteReference w:id="35"/>
            </w:r>
          </w:p>
          <w:p w14:paraId="01A14D82" w14:textId="77777777" w:rsidR="00C85330" w:rsidRPr="00C77207" w:rsidRDefault="00C85330" w:rsidP="008543B6">
            <w:pPr>
              <w:rPr>
                <w:rFonts w:cstheme="minorHAnsi"/>
                <w:lang w:val="de-DE"/>
              </w:rPr>
            </w:pPr>
            <w:r w:rsidRPr="00C77207">
              <w:rPr>
                <w:rFonts w:cstheme="minorHAnsi"/>
                <w:lang w:val="de-DE"/>
              </w:rPr>
              <w:t xml:space="preserve">1. Das Übereinkommen wird nicht auf simulierte Darstellungen, die keine real existierenden Kinder abbilden, angewendet. </w:t>
            </w:r>
          </w:p>
          <w:p w14:paraId="24271473" w14:textId="77777777" w:rsidR="00C85330" w:rsidRPr="00C77207" w:rsidRDefault="00C85330" w:rsidP="008543B6">
            <w:pPr>
              <w:rPr>
                <w:rFonts w:cstheme="minorHAnsi"/>
                <w:lang w:val="de-DE"/>
              </w:rPr>
            </w:pPr>
            <w:r w:rsidRPr="00C77207">
              <w:rPr>
                <w:rFonts w:cstheme="minorHAnsi"/>
                <w:lang w:val="de-DE"/>
              </w:rPr>
              <w:t xml:space="preserve">2. Das Übereinkommen wird nicht auf pornographisches Material angewendet, dass 14-jährige oder ältere Jugendliche freiwillig und ausschließlich für den eigenen Gebrauch herstellen und besitzen.  </w:t>
            </w:r>
          </w:p>
          <w:p w14:paraId="0A48374E" w14:textId="77777777" w:rsidR="00C85330" w:rsidRPr="00C77207" w:rsidRDefault="00C85330" w:rsidP="008543B6">
            <w:pPr>
              <w:rPr>
                <w:rFonts w:cstheme="minorHAnsi"/>
                <w:lang w:val="de-DE"/>
              </w:rPr>
            </w:pPr>
            <w:r w:rsidRPr="00C77207">
              <w:rPr>
                <w:rFonts w:cstheme="minorHAnsi"/>
                <w:lang w:val="de-DE"/>
              </w:rPr>
              <w:t xml:space="preserve">3. Die Strafbarkeit allein des Versuches einer Straftat erfordert in Deutschland eine Nähe zur Verletzung der geschützten Interessen und wird durch das Abkommen nicht weiter vorverlagert. </w:t>
            </w:r>
          </w:p>
          <w:p w14:paraId="0F7E5ACE" w14:textId="77777777" w:rsidR="00C85330" w:rsidRPr="00C77207" w:rsidRDefault="00C85330" w:rsidP="008543B6">
            <w:pPr>
              <w:rPr>
                <w:rFonts w:cstheme="minorHAnsi"/>
                <w:lang w:val="de-DE"/>
              </w:rPr>
            </w:pPr>
            <w:r w:rsidRPr="00C77207">
              <w:rPr>
                <w:rFonts w:cstheme="minorHAnsi"/>
                <w:lang w:val="de-DE"/>
              </w:rPr>
              <w:t>4. Das deutsche Recht sieht nicht vor, dass Straftaten von Ausländern oder Staatenlosen im Ausland, die ihren gewöhnlichen Aufenthalt in Deutschland haben, immer dem deutschen Strafrecht unterliegen müssen. In Einzelfällen kann dies auch einmal nicht gegeben sein.</w:t>
            </w:r>
          </w:p>
          <w:p w14:paraId="7D6E5A26" w14:textId="25B9D590" w:rsidR="00C85330" w:rsidRPr="00C77207" w:rsidRDefault="00C85330" w:rsidP="008543B6">
            <w:pPr>
              <w:rPr>
                <w:rFonts w:cstheme="minorHAnsi"/>
                <w:lang w:val="de-DE"/>
              </w:rPr>
            </w:pPr>
            <w:r w:rsidRPr="00C77207">
              <w:rPr>
                <w:rFonts w:cstheme="minorHAnsi"/>
                <w:lang w:val="de-DE"/>
              </w:rPr>
              <w:lastRenderedPageBreak/>
              <w:t>- Übereinkommen des Europarats über Computerkriminalität (Budapest-Konvention)</w:t>
            </w:r>
            <w:r w:rsidR="004548D9" w:rsidRPr="00C77207">
              <w:rPr>
                <w:rStyle w:val="FootnoteReference"/>
                <w:rFonts w:cstheme="minorHAnsi"/>
                <w:lang w:val="de-DE"/>
              </w:rPr>
              <w:footnoteReference w:id="36"/>
            </w:r>
          </w:p>
          <w:p w14:paraId="0D856D0A" w14:textId="77777777" w:rsidR="00C85330" w:rsidRPr="00C77207" w:rsidRDefault="00C85330" w:rsidP="008543B6">
            <w:pPr>
              <w:rPr>
                <w:rFonts w:cstheme="minorHAnsi"/>
                <w:lang w:val="de-DE"/>
              </w:rPr>
            </w:pPr>
          </w:p>
          <w:p w14:paraId="52B4D2DA" w14:textId="77777777" w:rsidR="00C85330" w:rsidRPr="00C77207" w:rsidRDefault="00C85330" w:rsidP="008543B6">
            <w:pPr>
              <w:rPr>
                <w:rFonts w:cstheme="minorHAnsi"/>
                <w:lang w:val="de-DE"/>
              </w:rPr>
            </w:pPr>
            <w:r w:rsidRPr="00C77207">
              <w:rPr>
                <w:rFonts w:cstheme="minorHAnsi"/>
                <w:lang w:val="de-DE"/>
              </w:rPr>
              <w:t>Deutschland hat folgenden Übereinkommen (noch) nicht zugestimmt:</w:t>
            </w:r>
          </w:p>
          <w:p w14:paraId="5A1EB504" w14:textId="70ED3793" w:rsidR="00C85330" w:rsidRPr="00C77207" w:rsidRDefault="00C85330" w:rsidP="008543B6">
            <w:pPr>
              <w:rPr>
                <w:rFonts w:cstheme="minorHAnsi"/>
                <w:lang w:val="de-DE"/>
              </w:rPr>
            </w:pPr>
            <w:r w:rsidRPr="00C77207">
              <w:rPr>
                <w:rFonts w:cstheme="minorHAnsi"/>
                <w:lang w:val="de-DE"/>
              </w:rPr>
              <w:t>- Rahmenübereinkommen zur Tourismusethik der UNWTO (Stand 03.02.2022: Nur Indonesien hat das Übereinkommen bisher unterzeichnet)</w:t>
            </w:r>
            <w:r w:rsidR="004548D9" w:rsidRPr="00C77207">
              <w:rPr>
                <w:rStyle w:val="FootnoteReference"/>
                <w:rFonts w:cstheme="minorHAnsi"/>
                <w:lang w:val="de-DE"/>
              </w:rPr>
              <w:footnoteReference w:id="37"/>
            </w:r>
          </w:p>
          <w:p w14:paraId="62C2752E" w14:textId="3C7C8566" w:rsidR="001C2BA0" w:rsidRPr="00C77207" w:rsidRDefault="001C2BA0" w:rsidP="008543B6">
            <w:pPr>
              <w:rPr>
                <w:rFonts w:cstheme="minorHAnsi"/>
                <w:lang w:val="de-DE"/>
              </w:rPr>
            </w:pPr>
          </w:p>
        </w:tc>
      </w:tr>
      <w:tr w:rsidR="001C2BA0" w:rsidRPr="00F206A4" w14:paraId="49ED962E" w14:textId="77777777" w:rsidTr="00A57D8B">
        <w:trPr>
          <w:trHeight w:val="1008"/>
        </w:trPr>
        <w:tc>
          <w:tcPr>
            <w:tcW w:w="425" w:type="dxa"/>
          </w:tcPr>
          <w:p w14:paraId="49CC8523" w14:textId="77777777" w:rsidR="001C2BA0" w:rsidRPr="00C85330" w:rsidRDefault="001C2BA0" w:rsidP="001C2BA0">
            <w:pPr>
              <w:numPr>
                <w:ilvl w:val="0"/>
                <w:numId w:val="2"/>
              </w:numPr>
              <w:contextualSpacing/>
              <w:rPr>
                <w:rFonts w:ascii="Calibri" w:hAnsi="Calibri" w:cs="Calibri"/>
                <w:szCs w:val="28"/>
                <w:lang w:val="de-DE"/>
              </w:rPr>
            </w:pPr>
          </w:p>
        </w:tc>
        <w:tc>
          <w:tcPr>
            <w:tcW w:w="5387" w:type="dxa"/>
          </w:tcPr>
          <w:p w14:paraId="461C7C5C" w14:textId="20999642" w:rsidR="001C2BA0" w:rsidRPr="006A369F" w:rsidRDefault="000F3F4C">
            <w:pPr>
              <w:rPr>
                <w:rFonts w:ascii="Calibri" w:hAnsi="Calibri" w:cs="Calibri"/>
                <w:color w:val="000000" w:themeColor="text1"/>
                <w:lang w:val="de-DE"/>
              </w:rPr>
            </w:pPr>
            <w:r w:rsidRPr="004B0521">
              <w:rPr>
                <w:rFonts w:ascii="Calibri" w:eastAsia="Calibri" w:hAnsi="Calibri" w:cs="Calibri"/>
                <w:color w:val="000000" w:themeColor="text1"/>
                <w:lang w:val="de-DE"/>
              </w:rPr>
              <w:t>Sicherstellung von</w:t>
            </w:r>
            <w:r>
              <w:rPr>
                <w:rFonts w:ascii="Calibri" w:eastAsia="Calibri" w:hAnsi="Calibri" w:cs="Calibri"/>
                <w:b/>
                <w:color w:val="000000" w:themeColor="text1"/>
                <w:lang w:val="de-DE"/>
              </w:rPr>
              <w:t xml:space="preserve"> </w:t>
            </w:r>
            <w:r w:rsidR="006A369F" w:rsidRPr="006A369F">
              <w:rPr>
                <w:rFonts w:ascii="Calibri" w:eastAsia="Calibri" w:hAnsi="Calibri" w:cs="Calibri"/>
                <w:b/>
                <w:color w:val="000000" w:themeColor="text1"/>
                <w:lang w:val="de-DE"/>
              </w:rPr>
              <w:t>Schutzmaßnahmen</w:t>
            </w:r>
            <w:r w:rsidR="006A369F" w:rsidRPr="006A369F">
              <w:rPr>
                <w:rFonts w:ascii="Calibri" w:eastAsia="Calibri" w:hAnsi="Calibri" w:cs="Calibri"/>
                <w:color w:val="000000" w:themeColor="text1"/>
                <w:lang w:val="de-DE"/>
              </w:rPr>
              <w:t xml:space="preserve"> für </w:t>
            </w:r>
            <w:r w:rsidR="00794D1E">
              <w:rPr>
                <w:rFonts w:ascii="Calibri" w:eastAsia="Calibri" w:hAnsi="Calibri" w:cs="Calibri"/>
                <w:color w:val="000000" w:themeColor="text1"/>
                <w:lang w:val="de-DE"/>
              </w:rPr>
              <w:t>minderjährige Betroffene</w:t>
            </w:r>
            <w:r w:rsidR="006A369F" w:rsidRPr="006A369F">
              <w:rPr>
                <w:rFonts w:ascii="Calibri" w:eastAsia="Calibri" w:hAnsi="Calibri" w:cs="Calibri"/>
                <w:color w:val="000000" w:themeColor="text1"/>
                <w:lang w:val="de-DE"/>
              </w:rPr>
              <w:t xml:space="preserve"> in jeder Phase des Gerichtsverfahrens gegen den mutmaßlichen Täter</w:t>
            </w:r>
            <w:r>
              <w:rPr>
                <w:rFonts w:ascii="Calibri" w:eastAsia="Calibri" w:hAnsi="Calibri" w:cs="Calibri"/>
                <w:color w:val="000000" w:themeColor="text1"/>
                <w:lang w:val="de-DE"/>
              </w:rPr>
              <w:t xml:space="preserve">. </w:t>
            </w:r>
          </w:p>
        </w:tc>
        <w:tc>
          <w:tcPr>
            <w:tcW w:w="1701" w:type="dxa"/>
          </w:tcPr>
          <w:p w14:paraId="4DDBBDCC" w14:textId="78280A01" w:rsidR="001C2BA0" w:rsidRPr="004B0521" w:rsidRDefault="00C55A34" w:rsidP="001C2BA0">
            <w:pPr>
              <w:rPr>
                <w:rFonts w:ascii="Calibri" w:hAnsi="Calibri" w:cs="Calibri"/>
                <w:bCs/>
                <w:color w:val="000000" w:themeColor="text1"/>
                <w:lang w:val="de-DE"/>
              </w:rPr>
            </w:pPr>
            <w:r w:rsidRPr="004B0521">
              <w:rPr>
                <w:rFonts w:ascii="Calibri" w:hAnsi="Calibri" w:cs="Calibri"/>
                <w:bCs/>
                <w:color w:val="000000" w:themeColor="text1"/>
                <w:lang w:val="de-DE"/>
              </w:rPr>
              <w:t>Ja</w:t>
            </w:r>
          </w:p>
        </w:tc>
        <w:tc>
          <w:tcPr>
            <w:tcW w:w="5523" w:type="dxa"/>
          </w:tcPr>
          <w:p w14:paraId="588A86F6" w14:textId="77777777" w:rsidR="00C85330" w:rsidRPr="00C77207" w:rsidRDefault="00C85330" w:rsidP="008543B6">
            <w:pPr>
              <w:rPr>
                <w:rFonts w:cstheme="minorHAnsi"/>
                <w:lang w:val="de-DE"/>
              </w:rPr>
            </w:pPr>
            <w:r w:rsidRPr="00C77207">
              <w:rPr>
                <w:rFonts w:cstheme="minorHAnsi"/>
                <w:lang w:val="de-DE"/>
              </w:rPr>
              <w:t>Das deutsche Strafprozessrecht kennt zahlreiche Schutzvorschriften, die Kinder schützen, die Opfer einer Straftat geworden sind:</w:t>
            </w:r>
          </w:p>
          <w:p w14:paraId="556866A1" w14:textId="04B2BB0A" w:rsidR="00C85330" w:rsidRPr="00C77207" w:rsidRDefault="00C85330" w:rsidP="008543B6">
            <w:pPr>
              <w:rPr>
                <w:rFonts w:cstheme="minorHAnsi"/>
                <w:lang w:val="de-DE"/>
              </w:rPr>
            </w:pPr>
            <w:r w:rsidRPr="00C77207">
              <w:rPr>
                <w:rFonts w:cstheme="minorHAnsi"/>
                <w:lang w:val="de-DE"/>
              </w:rPr>
              <w:t>- In einer Hauptverhandlung werden Minderjährige nur von dem vorsitzenden Richter befragt. Andere Personen, wie der</w:t>
            </w:r>
            <w:r w:rsidR="000F3F4C">
              <w:rPr>
                <w:rFonts w:cstheme="minorHAnsi"/>
                <w:lang w:val="de-DE"/>
              </w:rPr>
              <w:t xml:space="preserve"> </w:t>
            </w:r>
            <w:r w:rsidRPr="00C77207">
              <w:rPr>
                <w:rFonts w:cstheme="minorHAnsi"/>
                <w:lang w:val="de-DE"/>
              </w:rPr>
              <w:t>Verteidiger des Angeklagten oder die Staatsanwaltschaft dürfen die Kinder und Jugendlichen in der Regel nicht direkt befragen, § 241a StPO</w:t>
            </w:r>
          </w:p>
          <w:p w14:paraId="21361179" w14:textId="77777777" w:rsidR="00C85330" w:rsidRPr="00C77207" w:rsidRDefault="00C85330" w:rsidP="008543B6">
            <w:pPr>
              <w:rPr>
                <w:rFonts w:cstheme="minorHAnsi"/>
                <w:lang w:val="de-DE"/>
              </w:rPr>
            </w:pPr>
            <w:r w:rsidRPr="00C77207">
              <w:rPr>
                <w:rFonts w:cstheme="minorHAnsi"/>
                <w:lang w:val="de-DE"/>
              </w:rPr>
              <w:t>- Die Untersuchungen und Vernehmungen Minderjähriger sollen beschleunigt durchgeführt werden, § 48a Abs. 2 StPO.</w:t>
            </w:r>
          </w:p>
          <w:p w14:paraId="32490069" w14:textId="77777777" w:rsidR="00C85330" w:rsidRPr="00C77207" w:rsidRDefault="00C85330" w:rsidP="008543B6">
            <w:pPr>
              <w:rPr>
                <w:rFonts w:cstheme="minorHAnsi"/>
                <w:lang w:val="de-DE"/>
              </w:rPr>
            </w:pPr>
            <w:r w:rsidRPr="00C77207">
              <w:rPr>
                <w:rFonts w:cstheme="minorHAnsi"/>
                <w:lang w:val="de-DE"/>
              </w:rPr>
              <w:t>- Mehrmalige Vernehmungen des Minderjährigen vor der Hauptverhandlung sind zu vermeiden, Nr. 19 RiStBV</w:t>
            </w:r>
          </w:p>
          <w:p w14:paraId="35A1917D" w14:textId="77777777" w:rsidR="00C85330" w:rsidRPr="00C77207" w:rsidRDefault="00C85330" w:rsidP="008543B6">
            <w:pPr>
              <w:rPr>
                <w:rFonts w:cstheme="minorHAnsi"/>
                <w:lang w:val="de-DE"/>
              </w:rPr>
            </w:pPr>
            <w:r w:rsidRPr="00C77207">
              <w:rPr>
                <w:rFonts w:cstheme="minorHAnsi"/>
                <w:lang w:val="de-DE"/>
              </w:rPr>
              <w:t xml:space="preserve">- Die Vernehmung des Minderjährigen in der Hauptverhandlung kann ggfs. sogar durch eine vorherige Aufzeichnung und das Abspielen der Aufnahme in der Hauptverhandlung ersetzt werden, §§ 58a Abs. 1 S. 2 Nr. 1, 255a StPO. </w:t>
            </w:r>
          </w:p>
          <w:p w14:paraId="12573DFB" w14:textId="77777777" w:rsidR="00C85330" w:rsidRPr="00C77207" w:rsidRDefault="00C85330" w:rsidP="008543B6">
            <w:pPr>
              <w:rPr>
                <w:rFonts w:cstheme="minorHAnsi"/>
                <w:lang w:val="de-DE"/>
              </w:rPr>
            </w:pPr>
            <w:r w:rsidRPr="00C77207">
              <w:rPr>
                <w:rFonts w:cstheme="minorHAnsi"/>
                <w:lang w:val="de-DE"/>
              </w:rPr>
              <w:lastRenderedPageBreak/>
              <w:t>- Nach einem Geständnis des Angeklagten ist zu prüfen, ob die Vernehmung des Minderjährigen überhaupt noch notwendig ist, Nr. 222 Abs. 2 RiStBV.</w:t>
            </w:r>
          </w:p>
          <w:p w14:paraId="37F18A4B" w14:textId="77777777" w:rsidR="00C85330" w:rsidRPr="00C77207" w:rsidRDefault="00C85330" w:rsidP="008543B6">
            <w:pPr>
              <w:rPr>
                <w:rFonts w:cstheme="minorHAnsi"/>
                <w:lang w:val="de-DE"/>
              </w:rPr>
            </w:pPr>
            <w:r w:rsidRPr="00C77207">
              <w:rPr>
                <w:rFonts w:cstheme="minorHAnsi"/>
                <w:lang w:val="de-DE"/>
              </w:rPr>
              <w:t>- Minderjährige dürfen nicht vereidigt werden, § 60 Nr. 1 StPO.</w:t>
            </w:r>
          </w:p>
          <w:p w14:paraId="48533D5B" w14:textId="77777777" w:rsidR="00C85330" w:rsidRPr="00C77207" w:rsidRDefault="00C85330" w:rsidP="008543B6">
            <w:pPr>
              <w:rPr>
                <w:rFonts w:cstheme="minorHAnsi"/>
                <w:lang w:val="de-DE"/>
              </w:rPr>
            </w:pPr>
            <w:r w:rsidRPr="00C77207">
              <w:rPr>
                <w:rFonts w:cstheme="minorHAnsi"/>
                <w:lang w:val="de-DE"/>
              </w:rPr>
              <w:t>- Angeklagte können unter erleichterten Bedingungen aus dem Sitzungszimmer entfernt werden, § 247 StPO.</w:t>
            </w:r>
          </w:p>
          <w:p w14:paraId="3C65AB4B" w14:textId="77777777" w:rsidR="00C85330" w:rsidRPr="00C77207" w:rsidRDefault="00C85330" w:rsidP="008543B6">
            <w:pPr>
              <w:rPr>
                <w:rFonts w:cstheme="minorHAnsi"/>
                <w:lang w:val="de-DE"/>
              </w:rPr>
            </w:pPr>
            <w:r w:rsidRPr="00C77207">
              <w:rPr>
                <w:rFonts w:cstheme="minorHAnsi"/>
                <w:lang w:val="de-DE"/>
              </w:rPr>
              <w:t>- Der Ausschluss der Öffentlichkeit ist leichter möglich, § 172 Nr. 4 GVG.</w:t>
            </w:r>
          </w:p>
          <w:p w14:paraId="236930EB" w14:textId="5B92B1AB" w:rsidR="00C85330" w:rsidRPr="00C77207" w:rsidRDefault="00C85330" w:rsidP="008543B6">
            <w:pPr>
              <w:rPr>
                <w:rFonts w:cstheme="minorHAnsi"/>
                <w:lang w:val="de-DE"/>
              </w:rPr>
            </w:pPr>
            <w:r w:rsidRPr="00C77207">
              <w:rPr>
                <w:rFonts w:cstheme="minorHAnsi"/>
                <w:lang w:val="de-DE"/>
              </w:rPr>
              <w:t>- Minderjährige, die Opfer schwerer Gewalt- oder Sexualdelikte geworden sind, haben einen Anspruch auf kostenfreie Beiordnung eines psychosozialen Prozessbegleiters, §§ 397a Abs. 1 Nr. 4 und 5, 406g Abs. 3 S. 1 StPO. Dabei handelt es sich um besonders für den Umgang mit Opfern von Straftaten ausgebildete Fachkräfte. Zudem besteht in solchen Fällen ein Anspruch auf Prozesskostenhilfe für die Hinzuziehung eines Rechtsanwalt</w:t>
            </w:r>
            <w:r w:rsidR="00787852">
              <w:rPr>
                <w:rFonts w:cstheme="minorHAnsi"/>
                <w:lang w:val="de-DE"/>
              </w:rPr>
              <w:t>s</w:t>
            </w:r>
            <w:r w:rsidRPr="00C77207">
              <w:rPr>
                <w:rFonts w:cstheme="minorHAnsi"/>
                <w:lang w:val="de-DE"/>
              </w:rPr>
              <w:t>, §§ 397a Abs. 1 Nr. 4 und 5, 406a Abs. 3 Nr. 2 StPO.</w:t>
            </w:r>
          </w:p>
          <w:p w14:paraId="15866497" w14:textId="77777777" w:rsidR="00C85330" w:rsidRPr="00C77207" w:rsidRDefault="00C85330" w:rsidP="008543B6">
            <w:pPr>
              <w:rPr>
                <w:rFonts w:cstheme="minorHAnsi"/>
                <w:lang w:val="de-DE"/>
              </w:rPr>
            </w:pPr>
          </w:p>
          <w:p w14:paraId="5FCDB7B1" w14:textId="60DDA59D" w:rsidR="00C85330" w:rsidRPr="00C77207" w:rsidRDefault="00C85330" w:rsidP="008543B6">
            <w:pPr>
              <w:rPr>
                <w:rFonts w:cstheme="minorHAnsi"/>
                <w:lang w:val="de-DE"/>
              </w:rPr>
            </w:pPr>
            <w:r w:rsidRPr="00C77207">
              <w:rPr>
                <w:rFonts w:cstheme="minorHAnsi"/>
                <w:lang w:val="de-DE"/>
              </w:rPr>
              <w:t>Zur Konkretisierung der Vorschriften ist die auch die Bundeseinheitliche Handreichung des Bundesjustizministeriums zum Schutz kindlicher (Opfer-) Zeugen im Strafverfahren beachtenswert.</w:t>
            </w:r>
            <w:r w:rsidR="002E6AF1" w:rsidRPr="00C77207">
              <w:rPr>
                <w:rStyle w:val="FootnoteReference"/>
                <w:rFonts w:cstheme="minorHAnsi"/>
                <w:lang w:val="de-DE"/>
              </w:rPr>
              <w:footnoteReference w:id="38"/>
            </w:r>
          </w:p>
          <w:p w14:paraId="720CDC09" w14:textId="77777777" w:rsidR="00C85330" w:rsidRPr="00C77207" w:rsidRDefault="00C85330" w:rsidP="008543B6">
            <w:pPr>
              <w:rPr>
                <w:rFonts w:cstheme="minorHAnsi"/>
                <w:lang w:val="de-DE"/>
              </w:rPr>
            </w:pPr>
          </w:p>
          <w:p w14:paraId="72624432" w14:textId="77777777" w:rsidR="00C85330" w:rsidRPr="00C77207" w:rsidRDefault="00C85330" w:rsidP="008543B6">
            <w:pPr>
              <w:rPr>
                <w:rFonts w:cstheme="minorHAnsi"/>
                <w:lang w:val="de-DE"/>
              </w:rPr>
            </w:pPr>
            <w:r w:rsidRPr="00C77207">
              <w:rPr>
                <w:rFonts w:cstheme="minorHAnsi"/>
                <w:lang w:val="de-DE"/>
              </w:rPr>
              <w:t>Eine Differenzierung zwischen inländischen und ausländischen Opfern enthalten obige Vorschriften nicht und können daher unabhängig von der Nationalität des Opfers in Anspruch genommen werden.</w:t>
            </w:r>
          </w:p>
          <w:p w14:paraId="6BF5A5FC" w14:textId="1A0A4C8B" w:rsidR="008971EB" w:rsidRPr="00C77207" w:rsidRDefault="008971EB" w:rsidP="008543B6">
            <w:pPr>
              <w:rPr>
                <w:rFonts w:cstheme="minorHAnsi"/>
                <w:lang w:val="de-DE"/>
              </w:rPr>
            </w:pPr>
          </w:p>
        </w:tc>
      </w:tr>
      <w:tr w:rsidR="001C2BA0" w:rsidRPr="00F206A4" w14:paraId="3F5068AF" w14:textId="77777777" w:rsidTr="00A57D8B">
        <w:trPr>
          <w:trHeight w:val="576"/>
        </w:trPr>
        <w:tc>
          <w:tcPr>
            <w:tcW w:w="425" w:type="dxa"/>
          </w:tcPr>
          <w:p w14:paraId="3AA73043" w14:textId="77777777" w:rsidR="001C2BA0" w:rsidRPr="00C85330" w:rsidRDefault="001C2BA0" w:rsidP="001C2BA0">
            <w:pPr>
              <w:numPr>
                <w:ilvl w:val="0"/>
                <w:numId w:val="2"/>
              </w:numPr>
              <w:contextualSpacing/>
              <w:rPr>
                <w:rFonts w:ascii="Calibri" w:hAnsi="Calibri" w:cs="Calibri"/>
                <w:szCs w:val="28"/>
                <w:lang w:val="de-DE"/>
              </w:rPr>
            </w:pPr>
          </w:p>
        </w:tc>
        <w:tc>
          <w:tcPr>
            <w:tcW w:w="5387" w:type="dxa"/>
          </w:tcPr>
          <w:p w14:paraId="3AF3541B" w14:textId="27AF95A5" w:rsidR="001C2BA0" w:rsidRPr="006A369F" w:rsidRDefault="006A369F" w:rsidP="001C2BA0">
            <w:pPr>
              <w:rPr>
                <w:rFonts w:ascii="Calibri" w:hAnsi="Calibri" w:cs="Calibri"/>
                <w:color w:val="000000" w:themeColor="text1"/>
                <w:lang w:val="de-DE"/>
              </w:rPr>
            </w:pPr>
            <w:r w:rsidRPr="006A369F">
              <w:rPr>
                <w:rFonts w:ascii="Calibri" w:hAnsi="Calibri" w:cs="Calibri"/>
                <w:color w:val="000000" w:themeColor="text1"/>
                <w:lang w:val="de-DE"/>
              </w:rPr>
              <w:t xml:space="preserve">Einführung von </w:t>
            </w:r>
            <w:r w:rsidRPr="006A369F">
              <w:rPr>
                <w:rFonts w:ascii="Calibri" w:hAnsi="Calibri" w:cs="Calibri"/>
                <w:b/>
                <w:color w:val="000000" w:themeColor="text1"/>
                <w:lang w:val="de-DE"/>
              </w:rPr>
              <w:t xml:space="preserve">kinderfreundlichen Vernehmungspraktiken </w:t>
            </w:r>
            <w:r w:rsidRPr="004B0521">
              <w:rPr>
                <w:rFonts w:ascii="Calibri" w:hAnsi="Calibri" w:cs="Calibri"/>
                <w:color w:val="000000" w:themeColor="text1"/>
                <w:lang w:val="de-DE"/>
              </w:rPr>
              <w:t>durch professionell geschulte Polizisten.</w:t>
            </w:r>
          </w:p>
        </w:tc>
        <w:tc>
          <w:tcPr>
            <w:tcW w:w="1701" w:type="dxa"/>
          </w:tcPr>
          <w:p w14:paraId="3D4F1534" w14:textId="64B86094" w:rsidR="001C2BA0" w:rsidRDefault="00C55A34" w:rsidP="001C2BA0">
            <w:pPr>
              <w:rPr>
                <w:rFonts w:ascii="Calibri" w:hAnsi="Calibri" w:cs="Calibri"/>
                <w:bCs/>
                <w:color w:val="000000" w:themeColor="text1"/>
                <w:lang w:val="en-GB"/>
              </w:rPr>
            </w:pPr>
            <w:proofErr w:type="spellStart"/>
            <w:r>
              <w:rPr>
                <w:rFonts w:ascii="Calibri" w:hAnsi="Calibri" w:cs="Calibri"/>
                <w:bCs/>
                <w:color w:val="000000" w:themeColor="text1"/>
                <w:lang w:val="en-GB"/>
              </w:rPr>
              <w:t>Ja</w:t>
            </w:r>
            <w:proofErr w:type="spellEnd"/>
          </w:p>
          <w:p w14:paraId="2FD008AE" w14:textId="77777777" w:rsidR="00232181" w:rsidRDefault="00232181" w:rsidP="001C2BA0">
            <w:pPr>
              <w:rPr>
                <w:rFonts w:ascii="Calibri" w:hAnsi="Calibri" w:cs="Calibri"/>
                <w:bCs/>
                <w:color w:val="000000" w:themeColor="text1"/>
                <w:lang w:val="en-GB"/>
              </w:rPr>
            </w:pPr>
          </w:p>
          <w:p w14:paraId="23EE5A84" w14:textId="555027D2" w:rsidR="00232181" w:rsidRPr="00A57D8B" w:rsidRDefault="00232181" w:rsidP="001C2BA0">
            <w:pPr>
              <w:rPr>
                <w:rFonts w:ascii="Calibri" w:hAnsi="Calibri" w:cs="Calibri"/>
                <w:bCs/>
                <w:color w:val="000000" w:themeColor="text1"/>
                <w:lang w:val="en-GB"/>
              </w:rPr>
            </w:pPr>
          </w:p>
        </w:tc>
        <w:tc>
          <w:tcPr>
            <w:tcW w:w="5523" w:type="dxa"/>
          </w:tcPr>
          <w:p w14:paraId="1F00952A" w14:textId="77777777" w:rsidR="008971EB" w:rsidRPr="00C77207" w:rsidRDefault="00C74491" w:rsidP="008543B6">
            <w:pPr>
              <w:rPr>
                <w:rFonts w:cstheme="minorHAnsi"/>
                <w:color w:val="000000" w:themeColor="text1"/>
                <w:lang w:val="de-DE"/>
              </w:rPr>
            </w:pPr>
            <w:r w:rsidRPr="00C77207">
              <w:rPr>
                <w:rFonts w:cstheme="minorHAnsi"/>
                <w:color w:val="000000" w:themeColor="text1"/>
                <w:lang w:val="de-DE"/>
              </w:rPr>
              <w:t>An kindgerechten Verhör- und Verfahrensmethoden wird fortwährend gearbeitet und diese implementiert.</w:t>
            </w:r>
          </w:p>
          <w:p w14:paraId="5BB87BF6" w14:textId="601ADE39" w:rsidR="00C74491" w:rsidRPr="00C77207" w:rsidRDefault="00C74491" w:rsidP="008543B6">
            <w:pPr>
              <w:rPr>
                <w:rFonts w:cstheme="minorHAnsi"/>
                <w:color w:val="000000" w:themeColor="text1"/>
                <w:lang w:val="de-DE"/>
              </w:rPr>
            </w:pPr>
            <w:r w:rsidRPr="00C77207">
              <w:rPr>
                <w:rFonts w:cstheme="minorHAnsi"/>
                <w:color w:val="000000" w:themeColor="text1"/>
                <w:lang w:val="de-DE"/>
              </w:rPr>
              <w:t>Erst im November 2021 veröffentlichte der Nationale Rat gegen sexuelle Gewalt an Kindern und Jugendlichen einen über fast zwei Jahre entwickelten „Praxisleitfaden zur Anwendung kindgerechter Kriterien für das Strafverfahren“.</w:t>
            </w:r>
            <w:r w:rsidRPr="00C77207">
              <w:rPr>
                <w:rStyle w:val="FootnoteReference"/>
                <w:rFonts w:cstheme="minorHAnsi"/>
                <w:color w:val="000000" w:themeColor="text1"/>
                <w:lang w:val="de-DE"/>
              </w:rPr>
              <w:footnoteReference w:id="39"/>
            </w:r>
            <w:r w:rsidRPr="00C77207">
              <w:rPr>
                <w:rFonts w:cstheme="minorHAnsi"/>
                <w:color w:val="000000" w:themeColor="text1"/>
                <w:lang w:val="de-DE"/>
              </w:rPr>
              <w:t xml:space="preserve"> Dieser spricht Polizei, Staatsanwaltschaft, Ermittlungs- und Spruchrichter</w:t>
            </w:r>
            <w:r w:rsidR="001B4F4F">
              <w:rPr>
                <w:rFonts w:cstheme="minorHAnsi"/>
                <w:color w:val="000000" w:themeColor="text1"/>
                <w:lang w:val="de-DE"/>
              </w:rPr>
              <w:t>n</w:t>
            </w:r>
            <w:r w:rsidRPr="00C77207">
              <w:rPr>
                <w:rFonts w:cstheme="minorHAnsi"/>
                <w:color w:val="000000" w:themeColor="text1"/>
                <w:lang w:val="de-DE"/>
              </w:rPr>
              <w:t xml:space="preserve"> an</w:t>
            </w:r>
            <w:r w:rsidR="00CA0E82" w:rsidRPr="00C77207">
              <w:rPr>
                <w:rFonts w:cstheme="minorHAnsi"/>
                <w:color w:val="000000" w:themeColor="text1"/>
                <w:lang w:val="de-DE"/>
              </w:rPr>
              <w:t>, bleibt jedoch leider eine unverbindliche Empfehlung.</w:t>
            </w:r>
          </w:p>
          <w:p w14:paraId="5463330F" w14:textId="7CAAA42E" w:rsidR="00C455E5" w:rsidRPr="00C77207" w:rsidRDefault="00C455E5" w:rsidP="008543B6">
            <w:pPr>
              <w:rPr>
                <w:rFonts w:cstheme="minorHAnsi"/>
                <w:color w:val="000000" w:themeColor="text1"/>
                <w:lang w:val="de-DE"/>
              </w:rPr>
            </w:pPr>
          </w:p>
          <w:p w14:paraId="396981D5" w14:textId="34A22DA6" w:rsidR="00C455E5" w:rsidRPr="00C77207" w:rsidRDefault="00C455E5" w:rsidP="008543B6">
            <w:pPr>
              <w:rPr>
                <w:rFonts w:cstheme="minorHAnsi"/>
                <w:color w:val="000000" w:themeColor="text1"/>
                <w:lang w:val="de-DE"/>
              </w:rPr>
            </w:pPr>
            <w:r w:rsidRPr="00C77207">
              <w:rPr>
                <w:rFonts w:cstheme="minorHAnsi"/>
                <w:color w:val="000000" w:themeColor="text1"/>
                <w:lang w:val="de-DE"/>
              </w:rPr>
              <w:t>Bezüglich der polizeilichen Ermittlung bes</w:t>
            </w:r>
            <w:r w:rsidR="00232181" w:rsidRPr="00C77207">
              <w:rPr>
                <w:rFonts w:cstheme="minorHAnsi"/>
                <w:color w:val="000000" w:themeColor="text1"/>
                <w:lang w:val="de-DE"/>
              </w:rPr>
              <w:t>tanden bereits zuvor</w:t>
            </w:r>
            <w:r w:rsidRPr="00C77207">
              <w:rPr>
                <w:rFonts w:cstheme="minorHAnsi"/>
                <w:color w:val="000000" w:themeColor="text1"/>
                <w:lang w:val="de-DE"/>
              </w:rPr>
              <w:t xml:space="preserve"> auf unterschiedlichen Ebenen Leitfäden zur Anhörung von Kindern</w:t>
            </w:r>
            <w:r w:rsidR="00232181" w:rsidRPr="00C77207">
              <w:rPr>
                <w:rFonts w:cstheme="minorHAnsi"/>
                <w:color w:val="000000" w:themeColor="text1"/>
                <w:lang w:val="de-DE"/>
              </w:rPr>
              <w:t>.</w:t>
            </w:r>
            <w:r w:rsidR="00232181" w:rsidRPr="00C77207">
              <w:rPr>
                <w:rStyle w:val="FootnoteReference"/>
                <w:rFonts w:cstheme="minorHAnsi"/>
                <w:color w:val="000000" w:themeColor="text1"/>
                <w:lang w:val="de-DE"/>
              </w:rPr>
              <w:footnoteReference w:id="40"/>
            </w:r>
          </w:p>
          <w:p w14:paraId="4CBDF8FE" w14:textId="2F061140" w:rsidR="00E47C10" w:rsidRPr="00C77207" w:rsidRDefault="00E47C10" w:rsidP="008543B6">
            <w:pPr>
              <w:rPr>
                <w:rFonts w:cstheme="minorHAnsi"/>
                <w:color w:val="000000" w:themeColor="text1"/>
                <w:lang w:val="de-DE"/>
              </w:rPr>
            </w:pPr>
          </w:p>
          <w:p w14:paraId="16D08A16" w14:textId="6D36A93C" w:rsidR="00E47C10" w:rsidRPr="00C77207" w:rsidRDefault="00E47C10" w:rsidP="008543B6">
            <w:pPr>
              <w:rPr>
                <w:rFonts w:cstheme="minorHAnsi"/>
                <w:color w:val="000000" w:themeColor="text1"/>
                <w:lang w:val="de-DE"/>
              </w:rPr>
            </w:pPr>
            <w:r w:rsidRPr="00C77207">
              <w:rPr>
                <w:rFonts w:cstheme="minorHAnsi"/>
                <w:color w:val="000000" w:themeColor="text1"/>
                <w:lang w:val="de-DE"/>
              </w:rPr>
              <w:t xml:space="preserve">Seit 2018 eröffneten in Deutschland Childhood Häuser nach dem Vorbild des Barnahus Modells in </w:t>
            </w:r>
            <w:r w:rsidR="00E23F16" w:rsidRPr="00C77207">
              <w:rPr>
                <w:rFonts w:cstheme="minorHAnsi"/>
                <w:color w:val="000000" w:themeColor="text1"/>
                <w:lang w:val="de-DE"/>
              </w:rPr>
              <w:t>verschiedenen Standorten</w:t>
            </w:r>
            <w:r w:rsidRPr="00C77207">
              <w:rPr>
                <w:rFonts w:cstheme="minorHAnsi"/>
                <w:color w:val="000000" w:themeColor="text1"/>
                <w:lang w:val="de-DE"/>
              </w:rPr>
              <w:t>.</w:t>
            </w:r>
            <w:r w:rsidRPr="00C77207">
              <w:rPr>
                <w:rStyle w:val="FootnoteReference"/>
                <w:rFonts w:cstheme="minorHAnsi"/>
                <w:color w:val="000000" w:themeColor="text1"/>
                <w:lang w:val="de-DE"/>
              </w:rPr>
              <w:footnoteReference w:id="41"/>
            </w:r>
            <w:r w:rsidRPr="00C77207">
              <w:rPr>
                <w:rFonts w:cstheme="minorHAnsi"/>
                <w:color w:val="000000" w:themeColor="text1"/>
                <w:lang w:val="de-DE"/>
              </w:rPr>
              <w:t xml:space="preserve"> Diese vereinen einen sicheren Ort mit der Möglichkeit, das </w:t>
            </w:r>
            <w:r w:rsidR="00F802C1" w:rsidRPr="00C77207">
              <w:rPr>
                <w:rFonts w:cstheme="minorHAnsi"/>
                <w:color w:val="000000" w:themeColor="text1"/>
                <w:lang w:val="de-DE"/>
              </w:rPr>
              <w:t>Kind durch Ermittlungsverfahren und medizinische Untersuchung begleiten zu können. Dies geschieht durch ein Zusammenkommen von Ärzt</w:t>
            </w:r>
            <w:r w:rsidR="001B4F4F">
              <w:rPr>
                <w:rFonts w:cstheme="minorHAnsi"/>
                <w:color w:val="000000" w:themeColor="text1"/>
                <w:lang w:val="de-DE"/>
              </w:rPr>
              <w:t>en</w:t>
            </w:r>
            <w:r w:rsidR="00F802C1" w:rsidRPr="00C77207">
              <w:rPr>
                <w:rFonts w:cstheme="minorHAnsi"/>
                <w:color w:val="000000" w:themeColor="text1"/>
                <w:lang w:val="de-DE"/>
              </w:rPr>
              <w:t>, Richter</w:t>
            </w:r>
            <w:r w:rsidR="001B4F4F">
              <w:rPr>
                <w:rFonts w:cstheme="minorHAnsi"/>
                <w:color w:val="000000" w:themeColor="text1"/>
                <w:lang w:val="de-DE"/>
              </w:rPr>
              <w:t>n</w:t>
            </w:r>
            <w:r w:rsidR="00F802C1" w:rsidRPr="00C77207">
              <w:rPr>
                <w:rFonts w:cstheme="minorHAnsi"/>
                <w:color w:val="000000" w:themeColor="text1"/>
                <w:lang w:val="de-DE"/>
              </w:rPr>
              <w:t>, Polizist</w:t>
            </w:r>
            <w:r w:rsidR="001B4F4F">
              <w:rPr>
                <w:rFonts w:cstheme="minorHAnsi"/>
                <w:color w:val="000000" w:themeColor="text1"/>
                <w:lang w:val="de-DE"/>
              </w:rPr>
              <w:t>en</w:t>
            </w:r>
            <w:r w:rsidR="00F802C1" w:rsidRPr="00C77207">
              <w:rPr>
                <w:rFonts w:cstheme="minorHAnsi"/>
                <w:color w:val="000000" w:themeColor="text1"/>
                <w:lang w:val="de-DE"/>
              </w:rPr>
              <w:t>, Psycholog</w:t>
            </w:r>
            <w:r w:rsidR="001B4F4F">
              <w:rPr>
                <w:rFonts w:cstheme="minorHAnsi"/>
                <w:color w:val="000000" w:themeColor="text1"/>
                <w:lang w:val="de-DE"/>
              </w:rPr>
              <w:t>en</w:t>
            </w:r>
            <w:r w:rsidR="00F802C1" w:rsidRPr="00C77207">
              <w:rPr>
                <w:rFonts w:cstheme="minorHAnsi"/>
                <w:color w:val="000000" w:themeColor="text1"/>
                <w:lang w:val="de-DE"/>
              </w:rPr>
              <w:t xml:space="preserve"> und der Jugendhilfe.</w:t>
            </w:r>
          </w:p>
          <w:p w14:paraId="58ADF428" w14:textId="77777777" w:rsidR="00CA0E82" w:rsidRPr="00C77207" w:rsidRDefault="00CA0E82" w:rsidP="008543B6">
            <w:pPr>
              <w:rPr>
                <w:rFonts w:cstheme="minorHAnsi"/>
                <w:color w:val="000000" w:themeColor="text1"/>
                <w:lang w:val="de-DE"/>
              </w:rPr>
            </w:pPr>
          </w:p>
          <w:p w14:paraId="58E64058" w14:textId="37EDCCC9" w:rsidR="00CA0E82" w:rsidRPr="00C77207" w:rsidRDefault="00232181" w:rsidP="008543B6">
            <w:pPr>
              <w:rPr>
                <w:rFonts w:cstheme="minorHAnsi"/>
                <w:color w:val="000000" w:themeColor="text1"/>
                <w:lang w:val="de-DE"/>
              </w:rPr>
            </w:pPr>
            <w:r w:rsidRPr="00C77207">
              <w:rPr>
                <w:rFonts w:cstheme="minorHAnsi"/>
                <w:color w:val="000000" w:themeColor="text1"/>
                <w:lang w:val="de-DE"/>
              </w:rPr>
              <w:t>Zudem</w:t>
            </w:r>
            <w:r w:rsidR="00CA0E82" w:rsidRPr="00C77207">
              <w:rPr>
                <w:rFonts w:cstheme="minorHAnsi"/>
                <w:color w:val="000000" w:themeColor="text1"/>
                <w:lang w:val="de-DE"/>
              </w:rPr>
              <w:t xml:space="preserve"> existieren verschiedene </w:t>
            </w:r>
            <w:r w:rsidRPr="00C77207">
              <w:rPr>
                <w:rFonts w:cstheme="minorHAnsi"/>
                <w:color w:val="000000" w:themeColor="text1"/>
                <w:lang w:val="de-DE"/>
              </w:rPr>
              <w:t xml:space="preserve">Möglichkeiten des </w:t>
            </w:r>
            <w:r w:rsidR="00CA0E82" w:rsidRPr="00C77207">
              <w:rPr>
                <w:rFonts w:cstheme="minorHAnsi"/>
                <w:color w:val="000000" w:themeColor="text1"/>
                <w:lang w:val="de-DE"/>
              </w:rPr>
              <w:t>Opfer</w:t>
            </w:r>
            <w:r w:rsidRPr="00C77207">
              <w:rPr>
                <w:rFonts w:cstheme="minorHAnsi"/>
                <w:color w:val="000000" w:themeColor="text1"/>
                <w:lang w:val="de-DE"/>
              </w:rPr>
              <w:t>schutzes</w:t>
            </w:r>
            <w:r w:rsidR="00CA0E82" w:rsidRPr="00C77207">
              <w:rPr>
                <w:rFonts w:cstheme="minorHAnsi"/>
                <w:color w:val="000000" w:themeColor="text1"/>
                <w:lang w:val="de-DE"/>
              </w:rPr>
              <w:t xml:space="preserve"> in der Strafprozessordnung, die auch kinderfreundliche Vernehmungen betreffen.</w:t>
            </w:r>
            <w:r w:rsidR="00C05629" w:rsidRPr="00C77207">
              <w:rPr>
                <w:rFonts w:cstheme="minorHAnsi"/>
                <w:color w:val="000000" w:themeColor="text1"/>
                <w:lang w:val="de-DE"/>
              </w:rPr>
              <w:t xml:space="preserve"> </w:t>
            </w:r>
          </w:p>
          <w:p w14:paraId="3356EDE3" w14:textId="4F7527EB" w:rsidR="00C05629" w:rsidRPr="00C77207" w:rsidRDefault="00C05629" w:rsidP="008543B6">
            <w:pPr>
              <w:rPr>
                <w:rFonts w:cstheme="minorHAnsi"/>
                <w:color w:val="000000" w:themeColor="text1"/>
                <w:lang w:val="de-DE"/>
              </w:rPr>
            </w:pPr>
            <w:r w:rsidRPr="00C77207">
              <w:rPr>
                <w:rFonts w:cstheme="minorHAnsi"/>
                <w:color w:val="000000" w:themeColor="text1"/>
                <w:lang w:val="de-DE"/>
              </w:rPr>
              <w:t>Gemäß § 247 StPO kann angeordnet werden, dass der Angeklagte während der Vernehmung Minderjähriger Zeugen aus dem Saal entfernt wird, wenn die Gefahr eines schwerwiegenden Nachteils für die Gesundheit besteht.</w:t>
            </w:r>
          </w:p>
          <w:p w14:paraId="7493A865" w14:textId="3DA00E60" w:rsidR="009F3132" w:rsidRPr="00C77207" w:rsidRDefault="009F3132" w:rsidP="008543B6">
            <w:pPr>
              <w:rPr>
                <w:rFonts w:cstheme="minorHAnsi"/>
                <w:color w:val="000000" w:themeColor="text1"/>
                <w:lang w:val="de-DE"/>
              </w:rPr>
            </w:pPr>
            <w:r w:rsidRPr="00C77207">
              <w:rPr>
                <w:rFonts w:cstheme="minorHAnsi"/>
                <w:color w:val="000000" w:themeColor="text1"/>
                <w:lang w:val="de-DE"/>
              </w:rPr>
              <w:lastRenderedPageBreak/>
              <w:t>Zu</w:t>
            </w:r>
            <w:r w:rsidR="00C05629" w:rsidRPr="00C77207">
              <w:rPr>
                <w:rFonts w:cstheme="minorHAnsi"/>
                <w:color w:val="000000" w:themeColor="text1"/>
                <w:lang w:val="de-DE"/>
              </w:rPr>
              <w:t>dem</w:t>
            </w:r>
            <w:r w:rsidRPr="00C77207">
              <w:rPr>
                <w:rFonts w:cstheme="minorHAnsi"/>
                <w:color w:val="000000" w:themeColor="text1"/>
                <w:lang w:val="de-DE"/>
              </w:rPr>
              <w:t xml:space="preserve"> kann anstelle einer Vernehmung in der Hauptverhandlung eine audiovisuelle Übertragung nach § 247a StPO angeordnet werden, sodass sich der Zeug</w:t>
            </w:r>
            <w:r w:rsidR="008E225B">
              <w:rPr>
                <w:rFonts w:cstheme="minorHAnsi"/>
                <w:color w:val="000000" w:themeColor="text1"/>
                <w:lang w:val="de-DE"/>
              </w:rPr>
              <w:t>e</w:t>
            </w:r>
            <w:r w:rsidRPr="00C77207">
              <w:rPr>
                <w:rFonts w:cstheme="minorHAnsi"/>
                <w:color w:val="000000" w:themeColor="text1"/>
                <w:lang w:val="de-DE"/>
              </w:rPr>
              <w:t xml:space="preserve"> in einem anderen Raum aufhalten kann.</w:t>
            </w:r>
          </w:p>
          <w:p w14:paraId="6D27A3FB" w14:textId="496D904D" w:rsidR="00CA0E82" w:rsidRPr="00C77207" w:rsidRDefault="00CA0E82" w:rsidP="008543B6">
            <w:pPr>
              <w:rPr>
                <w:rFonts w:cstheme="minorHAnsi"/>
                <w:color w:val="000000" w:themeColor="text1"/>
                <w:lang w:val="de-DE"/>
              </w:rPr>
            </w:pPr>
            <w:r w:rsidRPr="00C77207">
              <w:rPr>
                <w:rFonts w:cstheme="minorHAnsi"/>
                <w:color w:val="000000" w:themeColor="text1"/>
                <w:lang w:val="de-DE"/>
              </w:rPr>
              <w:t xml:space="preserve">Gem. </w:t>
            </w:r>
            <w:r w:rsidR="00F44CEB" w:rsidRPr="00C77207">
              <w:rPr>
                <w:rFonts w:cstheme="minorHAnsi"/>
                <w:color w:val="000000" w:themeColor="text1"/>
                <w:lang w:val="de-DE"/>
              </w:rPr>
              <w:t>§ 58a Abs.</w:t>
            </w:r>
            <w:r w:rsidR="005A0A85" w:rsidRPr="00C77207">
              <w:rPr>
                <w:rFonts w:cstheme="minorHAnsi"/>
                <w:color w:val="000000" w:themeColor="text1"/>
                <w:lang w:val="de-DE"/>
              </w:rPr>
              <w:t xml:space="preserve"> </w:t>
            </w:r>
            <w:r w:rsidR="00F44CEB" w:rsidRPr="00C77207">
              <w:rPr>
                <w:rFonts w:cstheme="minorHAnsi"/>
                <w:color w:val="000000" w:themeColor="text1"/>
                <w:lang w:val="de-DE"/>
              </w:rPr>
              <w:t>1 Nr.</w:t>
            </w:r>
            <w:r w:rsidR="005A0A85" w:rsidRPr="00C77207">
              <w:rPr>
                <w:rFonts w:cstheme="minorHAnsi"/>
                <w:color w:val="000000" w:themeColor="text1"/>
                <w:lang w:val="de-DE"/>
              </w:rPr>
              <w:t xml:space="preserve"> </w:t>
            </w:r>
            <w:r w:rsidR="00F44CEB" w:rsidRPr="00C77207">
              <w:rPr>
                <w:rFonts w:cstheme="minorHAnsi"/>
                <w:color w:val="000000" w:themeColor="text1"/>
                <w:lang w:val="de-DE"/>
              </w:rPr>
              <w:t>1 StPO kann die Vernehmung besonders schutzbedürftiger Zeug</w:t>
            </w:r>
            <w:r w:rsidR="008E225B">
              <w:rPr>
                <w:rFonts w:cstheme="minorHAnsi"/>
                <w:color w:val="000000" w:themeColor="text1"/>
                <w:lang w:val="de-DE"/>
              </w:rPr>
              <w:t>en</w:t>
            </w:r>
            <w:r w:rsidR="00F44CEB" w:rsidRPr="00C77207">
              <w:rPr>
                <w:rFonts w:cstheme="minorHAnsi"/>
                <w:color w:val="000000" w:themeColor="text1"/>
                <w:lang w:val="de-DE"/>
              </w:rPr>
              <w:t xml:space="preserve"> (insbesondere verletze Kinder) aufgezeichnet werden und als richterliche Vernehmung erfolgen. Hierdurch sollen belastende Mehrfachvernehmungen </w:t>
            </w:r>
            <w:r w:rsidR="00B77614" w:rsidRPr="00C77207">
              <w:rPr>
                <w:rFonts w:cstheme="minorHAnsi"/>
                <w:color w:val="000000" w:themeColor="text1"/>
                <w:lang w:val="de-DE"/>
              </w:rPr>
              <w:t>vermieden werden.</w:t>
            </w:r>
            <w:r w:rsidR="00B77614" w:rsidRPr="00C77207">
              <w:rPr>
                <w:rStyle w:val="FootnoteReference"/>
                <w:rFonts w:cstheme="minorHAnsi"/>
                <w:color w:val="000000" w:themeColor="text1"/>
                <w:lang w:val="de-DE"/>
              </w:rPr>
              <w:footnoteReference w:id="42"/>
            </w:r>
            <w:r w:rsidR="00B77614" w:rsidRPr="00C77207">
              <w:rPr>
                <w:rFonts w:cstheme="minorHAnsi"/>
                <w:color w:val="000000" w:themeColor="text1"/>
                <w:lang w:val="de-DE"/>
              </w:rPr>
              <w:t xml:space="preserve"> </w:t>
            </w:r>
            <w:r w:rsidR="009F3132" w:rsidRPr="00C77207">
              <w:rPr>
                <w:rFonts w:cstheme="minorHAnsi"/>
                <w:color w:val="000000" w:themeColor="text1"/>
                <w:lang w:val="de-DE"/>
              </w:rPr>
              <w:t>Die Aufzeichnung kann nach § 255a Abs. 2 StPO die richterliche Vernehmung in der Verhandlung ersetzen.</w:t>
            </w:r>
          </w:p>
          <w:p w14:paraId="5738A423" w14:textId="5AC5C6C8" w:rsidR="00314CC1" w:rsidRPr="00C77207" w:rsidRDefault="00314CC1" w:rsidP="008543B6">
            <w:pPr>
              <w:rPr>
                <w:rFonts w:cstheme="minorHAnsi"/>
                <w:color w:val="000000" w:themeColor="text1"/>
                <w:lang w:val="de-DE"/>
              </w:rPr>
            </w:pPr>
            <w:r w:rsidRPr="00C77207">
              <w:rPr>
                <w:rFonts w:cstheme="minorHAnsi"/>
                <w:color w:val="000000" w:themeColor="text1"/>
                <w:lang w:val="de-DE"/>
              </w:rPr>
              <w:t>Zudem soll eine Vernehmung von minderjährigen Zeug</w:t>
            </w:r>
            <w:r w:rsidR="008E225B">
              <w:rPr>
                <w:rFonts w:cstheme="minorHAnsi"/>
                <w:color w:val="000000" w:themeColor="text1"/>
                <w:lang w:val="de-DE"/>
              </w:rPr>
              <w:t>en</w:t>
            </w:r>
            <w:r w:rsidRPr="00C77207">
              <w:rPr>
                <w:rFonts w:cstheme="minorHAnsi"/>
                <w:color w:val="000000" w:themeColor="text1"/>
                <w:lang w:val="de-DE"/>
              </w:rPr>
              <w:t xml:space="preserve"> nach § 241a StPO grundsätzlich nur durch den Vorsitzenden und nicht weitere Personen erfolgen. Diese Einschränkung des Fragerechts der Verfahrensbeteiligten soll vor psychischen Belastungen einer Vernehmung in der Hauptverhandlung schützen.</w:t>
            </w:r>
            <w:r w:rsidRPr="00C77207">
              <w:rPr>
                <w:rStyle w:val="FootnoteReference"/>
                <w:rFonts w:cstheme="minorHAnsi"/>
                <w:color w:val="000000" w:themeColor="text1"/>
                <w:lang w:val="de-DE"/>
              </w:rPr>
              <w:footnoteReference w:id="43"/>
            </w:r>
            <w:r w:rsidR="00C05629" w:rsidRPr="00C77207">
              <w:rPr>
                <w:rFonts w:cstheme="minorHAnsi"/>
                <w:color w:val="000000" w:themeColor="text1"/>
                <w:lang w:val="de-DE"/>
              </w:rPr>
              <w:t xml:space="preserve"> </w:t>
            </w:r>
          </w:p>
          <w:p w14:paraId="05B1E734" w14:textId="77777777" w:rsidR="00C05629" w:rsidRPr="00C77207" w:rsidRDefault="00C05629" w:rsidP="008543B6">
            <w:pPr>
              <w:rPr>
                <w:rFonts w:cstheme="minorHAnsi"/>
                <w:color w:val="000000" w:themeColor="text1"/>
                <w:lang w:val="de-DE"/>
              </w:rPr>
            </w:pPr>
            <w:r w:rsidRPr="00C77207">
              <w:rPr>
                <w:rFonts w:cstheme="minorHAnsi"/>
                <w:color w:val="000000" w:themeColor="text1"/>
                <w:lang w:val="de-DE"/>
              </w:rPr>
              <w:t xml:space="preserve">Die Öffentlichkeit kann vom Verfahren nach §§ 171b, </w:t>
            </w:r>
            <w:r w:rsidR="00C455E5" w:rsidRPr="00C77207">
              <w:rPr>
                <w:rFonts w:cstheme="minorHAnsi"/>
                <w:color w:val="000000" w:themeColor="text1"/>
                <w:lang w:val="de-DE"/>
              </w:rPr>
              <w:t>172 GVG ausgeschlossen werden.</w:t>
            </w:r>
          </w:p>
          <w:p w14:paraId="0DF9B2E3" w14:textId="33E00810" w:rsidR="00232181" w:rsidRPr="00C77207" w:rsidRDefault="00232181" w:rsidP="008543B6">
            <w:pPr>
              <w:rPr>
                <w:rFonts w:cstheme="minorHAnsi"/>
                <w:color w:val="000000" w:themeColor="text1"/>
                <w:lang w:val="de-DE"/>
              </w:rPr>
            </w:pPr>
          </w:p>
        </w:tc>
      </w:tr>
      <w:tr w:rsidR="0025440E" w:rsidRPr="00F206A4" w14:paraId="6BEF2D88" w14:textId="77777777" w:rsidTr="00A57D8B">
        <w:trPr>
          <w:trHeight w:val="576"/>
        </w:trPr>
        <w:tc>
          <w:tcPr>
            <w:tcW w:w="425" w:type="dxa"/>
          </w:tcPr>
          <w:p w14:paraId="0ACCE096" w14:textId="77777777" w:rsidR="0025440E" w:rsidRPr="00F44CEB" w:rsidRDefault="0025440E" w:rsidP="0025440E">
            <w:pPr>
              <w:numPr>
                <w:ilvl w:val="0"/>
                <w:numId w:val="2"/>
              </w:numPr>
              <w:contextualSpacing/>
              <w:rPr>
                <w:rFonts w:ascii="Calibri" w:hAnsi="Calibri" w:cs="Calibri"/>
                <w:szCs w:val="28"/>
                <w:lang w:val="de-DE"/>
              </w:rPr>
            </w:pPr>
          </w:p>
        </w:tc>
        <w:tc>
          <w:tcPr>
            <w:tcW w:w="5387" w:type="dxa"/>
          </w:tcPr>
          <w:p w14:paraId="70D09A41" w14:textId="3F26226B" w:rsidR="0025440E" w:rsidRPr="006A369F" w:rsidRDefault="000F3F4C" w:rsidP="0025440E">
            <w:pPr>
              <w:rPr>
                <w:rFonts w:ascii="Calibri" w:hAnsi="Calibri" w:cs="Calibri"/>
                <w:color w:val="000000" w:themeColor="text1"/>
                <w:lang w:val="de-DE"/>
              </w:rPr>
            </w:pPr>
            <w:r>
              <w:rPr>
                <w:rFonts w:ascii="Calibri" w:eastAsia="Calibri" w:hAnsi="Calibri" w:cs="Calibri"/>
                <w:color w:val="000000" w:themeColor="text1"/>
                <w:lang w:val="de-DE"/>
              </w:rPr>
              <w:t>Sicherstellung</w:t>
            </w:r>
            <w:r w:rsidR="006A369F" w:rsidRPr="006A369F">
              <w:rPr>
                <w:rFonts w:ascii="Calibri" w:eastAsia="Calibri" w:hAnsi="Calibri" w:cs="Calibri"/>
                <w:color w:val="000000" w:themeColor="text1"/>
                <w:lang w:val="de-DE"/>
              </w:rPr>
              <w:t xml:space="preserve">, dass die nationalen Rechtsvorschriften das </w:t>
            </w:r>
            <w:r w:rsidR="006A369F" w:rsidRPr="006A369F">
              <w:rPr>
                <w:rFonts w:ascii="Calibri" w:eastAsia="Calibri" w:hAnsi="Calibri" w:cs="Calibri"/>
                <w:b/>
                <w:color w:val="000000" w:themeColor="text1"/>
                <w:lang w:val="de-DE"/>
              </w:rPr>
              <w:t xml:space="preserve">Recht von </w:t>
            </w:r>
            <w:r w:rsidR="00794D1E">
              <w:rPr>
                <w:rFonts w:ascii="Calibri" w:eastAsia="Calibri" w:hAnsi="Calibri" w:cs="Calibri"/>
                <w:b/>
                <w:color w:val="000000" w:themeColor="text1"/>
                <w:lang w:val="de-DE"/>
              </w:rPr>
              <w:t xml:space="preserve">minderjährigen Betroffenen </w:t>
            </w:r>
            <w:r w:rsidR="006A369F" w:rsidRPr="006A369F">
              <w:rPr>
                <w:rFonts w:ascii="Calibri" w:eastAsia="Calibri" w:hAnsi="Calibri" w:cs="Calibri"/>
                <w:b/>
                <w:color w:val="000000" w:themeColor="text1"/>
                <w:lang w:val="de-DE"/>
              </w:rPr>
              <w:t xml:space="preserve">auf Unterstützung </w:t>
            </w:r>
            <w:r w:rsidR="00794D1E">
              <w:rPr>
                <w:rFonts w:ascii="Calibri" w:eastAsia="Calibri" w:hAnsi="Calibri" w:cs="Calibri"/>
                <w:b/>
                <w:color w:val="000000" w:themeColor="text1"/>
                <w:lang w:val="de-DE"/>
              </w:rPr>
              <w:t>während</w:t>
            </w:r>
            <w:r w:rsidR="006A369F" w:rsidRPr="006A369F">
              <w:rPr>
                <w:rFonts w:ascii="Calibri" w:eastAsia="Calibri" w:hAnsi="Calibri" w:cs="Calibri"/>
                <w:b/>
                <w:color w:val="000000" w:themeColor="text1"/>
                <w:lang w:val="de-DE"/>
              </w:rPr>
              <w:t xml:space="preserve"> ihrer </w:t>
            </w:r>
            <w:r w:rsidR="002E47B3">
              <w:rPr>
                <w:rFonts w:ascii="Calibri" w:eastAsia="Calibri" w:hAnsi="Calibri" w:cs="Calibri"/>
                <w:b/>
                <w:color w:val="000000" w:themeColor="text1"/>
                <w:lang w:val="de-DE"/>
              </w:rPr>
              <w:t xml:space="preserve">Erholung </w:t>
            </w:r>
            <w:r w:rsidR="006A369F" w:rsidRPr="006A369F">
              <w:rPr>
                <w:rFonts w:ascii="Calibri" w:eastAsia="Calibri" w:hAnsi="Calibri" w:cs="Calibri"/>
                <w:b/>
                <w:color w:val="000000" w:themeColor="text1"/>
                <w:lang w:val="de-DE"/>
              </w:rPr>
              <w:t>und Rehabilitation</w:t>
            </w:r>
            <w:r w:rsidR="006A369F">
              <w:rPr>
                <w:rFonts w:ascii="Calibri" w:eastAsia="Calibri" w:hAnsi="Calibri" w:cs="Calibri"/>
                <w:b/>
                <w:color w:val="000000" w:themeColor="text1"/>
                <w:lang w:val="de-DE"/>
              </w:rPr>
              <w:t xml:space="preserve"> </w:t>
            </w:r>
            <w:r w:rsidR="006A369F">
              <w:rPr>
                <w:rFonts w:ascii="Calibri" w:eastAsia="Calibri" w:hAnsi="Calibri" w:cs="Calibri"/>
                <w:color w:val="000000" w:themeColor="text1"/>
                <w:lang w:val="de-DE"/>
              </w:rPr>
              <w:t>vorsehen,</w:t>
            </w:r>
            <w:r w:rsidR="006A369F" w:rsidRPr="006A369F">
              <w:rPr>
                <w:rFonts w:ascii="Calibri" w:eastAsia="Calibri" w:hAnsi="Calibri" w:cs="Calibri"/>
                <w:color w:val="000000" w:themeColor="text1"/>
                <w:lang w:val="de-DE"/>
              </w:rPr>
              <w:t xml:space="preserve"> einschließlich des Zugangs zu Wiedereingliederungsdiensten</w:t>
            </w:r>
            <w:r w:rsidR="006A369F">
              <w:rPr>
                <w:rFonts w:ascii="Calibri" w:eastAsia="Calibri" w:hAnsi="Calibri" w:cs="Calibri"/>
                <w:color w:val="000000" w:themeColor="text1"/>
                <w:lang w:val="de-DE"/>
              </w:rPr>
              <w:t>.</w:t>
            </w:r>
          </w:p>
        </w:tc>
        <w:tc>
          <w:tcPr>
            <w:tcW w:w="1701" w:type="dxa"/>
          </w:tcPr>
          <w:p w14:paraId="0DBA9F8F" w14:textId="19D4437E" w:rsidR="0025440E" w:rsidRPr="000C544C" w:rsidRDefault="00C55A34" w:rsidP="0025440E">
            <w:pPr>
              <w:rPr>
                <w:rFonts w:ascii="Calibri" w:hAnsi="Calibri" w:cs="Calibri"/>
                <w:color w:val="000000" w:themeColor="text1"/>
                <w:lang w:val="en-GB"/>
              </w:rPr>
            </w:pPr>
            <w:proofErr w:type="spellStart"/>
            <w:r>
              <w:rPr>
                <w:rFonts w:ascii="Calibri" w:hAnsi="Calibri" w:cs="Calibri"/>
                <w:color w:val="000000" w:themeColor="text1"/>
                <w:lang w:val="en-GB"/>
              </w:rPr>
              <w:t>Ja</w:t>
            </w:r>
            <w:proofErr w:type="spellEnd"/>
          </w:p>
        </w:tc>
        <w:tc>
          <w:tcPr>
            <w:tcW w:w="5523" w:type="dxa"/>
          </w:tcPr>
          <w:p w14:paraId="063DE060" w14:textId="77777777" w:rsidR="0025440E" w:rsidRPr="00C77207" w:rsidRDefault="0025440E" w:rsidP="008543B6">
            <w:pPr>
              <w:spacing w:line="276" w:lineRule="auto"/>
              <w:rPr>
                <w:rFonts w:cstheme="minorHAnsi"/>
                <w:color w:val="000000" w:themeColor="text1"/>
                <w:lang w:val="de-DE"/>
              </w:rPr>
            </w:pPr>
            <w:r w:rsidRPr="00C77207">
              <w:rPr>
                <w:rFonts w:cstheme="minorHAnsi"/>
                <w:color w:val="000000" w:themeColor="text1"/>
                <w:lang w:val="de-DE"/>
              </w:rPr>
              <w:t>Nach deutschem Recht stehen den minderjährigen Opfern von sexuellem Missbrauch verschiedene Ansprüche zu.</w:t>
            </w:r>
          </w:p>
          <w:p w14:paraId="0ED58245" w14:textId="17A8C93F" w:rsidR="0025440E" w:rsidRPr="00C77207" w:rsidRDefault="0025440E" w:rsidP="008543B6">
            <w:pPr>
              <w:spacing w:line="276" w:lineRule="auto"/>
              <w:rPr>
                <w:rFonts w:cstheme="minorHAnsi"/>
                <w:color w:val="000000" w:themeColor="text1"/>
                <w:lang w:val="de-DE"/>
              </w:rPr>
            </w:pPr>
            <w:r w:rsidRPr="00C77207">
              <w:rPr>
                <w:rFonts w:cstheme="minorHAnsi"/>
                <w:color w:val="000000" w:themeColor="text1"/>
                <w:lang w:val="de-DE"/>
              </w:rPr>
              <w:t>Nach §</w:t>
            </w:r>
            <w:r w:rsidR="005A0A85" w:rsidRPr="00C77207">
              <w:rPr>
                <w:rFonts w:cstheme="minorHAnsi"/>
                <w:color w:val="000000" w:themeColor="text1"/>
                <w:lang w:val="de-DE"/>
              </w:rPr>
              <w:t xml:space="preserve"> </w:t>
            </w:r>
            <w:r w:rsidRPr="00C77207">
              <w:rPr>
                <w:rFonts w:cstheme="minorHAnsi"/>
                <w:color w:val="000000" w:themeColor="text1"/>
                <w:lang w:val="de-DE"/>
              </w:rPr>
              <w:t xml:space="preserve">406 g </w:t>
            </w:r>
            <w:r w:rsidR="005A0A85" w:rsidRPr="00C77207">
              <w:rPr>
                <w:rFonts w:cstheme="minorHAnsi"/>
                <w:color w:val="000000" w:themeColor="text1"/>
                <w:lang w:val="de-DE"/>
              </w:rPr>
              <w:t>Abs. 3</w:t>
            </w:r>
            <w:r w:rsidRPr="00C77207">
              <w:rPr>
                <w:rFonts w:cstheme="minorHAnsi"/>
                <w:color w:val="000000" w:themeColor="text1"/>
                <w:lang w:val="de-DE"/>
              </w:rPr>
              <w:t xml:space="preserve"> iVm §</w:t>
            </w:r>
            <w:r w:rsidR="005A0A85" w:rsidRPr="00C77207">
              <w:rPr>
                <w:rFonts w:cstheme="minorHAnsi"/>
                <w:color w:val="000000" w:themeColor="text1"/>
                <w:lang w:val="de-DE"/>
              </w:rPr>
              <w:t xml:space="preserve"> </w:t>
            </w:r>
            <w:r w:rsidRPr="00C77207">
              <w:rPr>
                <w:rFonts w:cstheme="minorHAnsi"/>
                <w:color w:val="000000" w:themeColor="text1"/>
                <w:lang w:val="de-DE"/>
              </w:rPr>
              <w:t xml:space="preserve">397a </w:t>
            </w:r>
            <w:r w:rsidR="005A0A85" w:rsidRPr="00C77207">
              <w:rPr>
                <w:rFonts w:cstheme="minorHAnsi"/>
                <w:color w:val="000000" w:themeColor="text1"/>
                <w:lang w:val="de-DE"/>
              </w:rPr>
              <w:t>Abs. 1</w:t>
            </w:r>
            <w:r w:rsidRPr="00C77207">
              <w:rPr>
                <w:rFonts w:cstheme="minorHAnsi"/>
                <w:color w:val="000000" w:themeColor="text1"/>
                <w:lang w:val="de-DE"/>
              </w:rPr>
              <w:t xml:space="preserve"> Nr. 4, 5 StPO haben die Opfer bei sexuellem Missbrauch nach §§174-182 StGB sowie u.a. bei Menschenhandel nach §§232, 232a StGB einen Anspruch auf Beiordnung eine</w:t>
            </w:r>
            <w:r w:rsidR="00787852">
              <w:rPr>
                <w:rFonts w:cstheme="minorHAnsi"/>
                <w:color w:val="000000" w:themeColor="text1"/>
                <w:lang w:val="de-DE"/>
              </w:rPr>
              <w:t>r</w:t>
            </w:r>
            <w:r w:rsidRPr="00C77207">
              <w:rPr>
                <w:rFonts w:cstheme="minorHAnsi"/>
                <w:color w:val="000000" w:themeColor="text1"/>
                <w:lang w:val="de-DE"/>
              </w:rPr>
              <w:t xml:space="preserve"> psychosozialen Prozessbegleit</w:t>
            </w:r>
            <w:r w:rsidR="00787852">
              <w:rPr>
                <w:rFonts w:cstheme="minorHAnsi"/>
                <w:color w:val="000000" w:themeColor="text1"/>
                <w:lang w:val="de-DE"/>
              </w:rPr>
              <w:t>ung</w:t>
            </w:r>
            <w:r w:rsidRPr="00C77207">
              <w:rPr>
                <w:rFonts w:cstheme="minorHAnsi"/>
                <w:color w:val="000000" w:themeColor="text1"/>
                <w:lang w:val="de-DE"/>
              </w:rPr>
              <w:t>. Der Anspruch für Opfer von Kinder- und Jugendpornographie ergibt sich aufgrund der besonderen Schutzbedürftigkeit aus §</w:t>
            </w:r>
            <w:r w:rsidR="005A0A85" w:rsidRPr="00C77207">
              <w:rPr>
                <w:rFonts w:cstheme="minorHAnsi"/>
                <w:color w:val="000000" w:themeColor="text1"/>
                <w:lang w:val="de-DE"/>
              </w:rPr>
              <w:t xml:space="preserve"> </w:t>
            </w:r>
            <w:r w:rsidRPr="00C77207">
              <w:rPr>
                <w:rFonts w:cstheme="minorHAnsi"/>
                <w:color w:val="000000" w:themeColor="text1"/>
                <w:lang w:val="de-DE"/>
              </w:rPr>
              <w:t xml:space="preserve">406 </w:t>
            </w:r>
            <w:r w:rsidR="005A0A85" w:rsidRPr="00C77207">
              <w:rPr>
                <w:rFonts w:cstheme="minorHAnsi"/>
                <w:color w:val="000000" w:themeColor="text1"/>
                <w:lang w:val="de-DE"/>
              </w:rPr>
              <w:t>Abs. 3 S. 2</w:t>
            </w:r>
            <w:r w:rsidRPr="00C77207">
              <w:rPr>
                <w:rFonts w:cstheme="minorHAnsi"/>
                <w:color w:val="000000" w:themeColor="text1"/>
                <w:lang w:val="de-DE"/>
              </w:rPr>
              <w:t xml:space="preserve"> StPO. Die Beiordnung ist gem. §</w:t>
            </w:r>
            <w:r w:rsidR="005A0A85" w:rsidRPr="00C77207">
              <w:rPr>
                <w:rFonts w:cstheme="minorHAnsi"/>
                <w:color w:val="000000" w:themeColor="text1"/>
                <w:lang w:val="de-DE"/>
              </w:rPr>
              <w:t xml:space="preserve"> </w:t>
            </w:r>
            <w:r w:rsidRPr="00C77207">
              <w:rPr>
                <w:rFonts w:cstheme="minorHAnsi"/>
                <w:color w:val="000000" w:themeColor="text1"/>
                <w:lang w:val="de-DE"/>
              </w:rPr>
              <w:t xml:space="preserve">406g </w:t>
            </w:r>
            <w:r w:rsidR="005A0A85" w:rsidRPr="00C77207">
              <w:rPr>
                <w:rFonts w:cstheme="minorHAnsi"/>
                <w:color w:val="000000" w:themeColor="text1"/>
                <w:lang w:val="de-DE"/>
              </w:rPr>
              <w:t>Abs. 3 S. 3</w:t>
            </w:r>
            <w:r w:rsidRPr="00C77207">
              <w:rPr>
                <w:rFonts w:cstheme="minorHAnsi"/>
                <w:color w:val="000000" w:themeColor="text1"/>
                <w:lang w:val="de-DE"/>
              </w:rPr>
              <w:t xml:space="preserve"> StPO kostenfrei. Ziel </w:t>
            </w:r>
            <w:r w:rsidRPr="00C77207">
              <w:rPr>
                <w:rFonts w:cstheme="minorHAnsi"/>
                <w:color w:val="000000" w:themeColor="text1"/>
                <w:lang w:val="de-DE"/>
              </w:rPr>
              <w:lastRenderedPageBreak/>
              <w:t>der psychosozialen Prozessbegleitung ist, die individuelle Belastung des Betroffenen zu reduzieren sowie eine Sekundärviktimisierung zu vermeiden.</w:t>
            </w:r>
            <w:r w:rsidRPr="00C77207">
              <w:rPr>
                <w:rStyle w:val="FootnoteReference"/>
                <w:rFonts w:cstheme="minorHAnsi"/>
                <w:color w:val="000000" w:themeColor="text1"/>
                <w:lang w:val="de-DE"/>
              </w:rPr>
              <w:footnoteReference w:id="44"/>
            </w:r>
          </w:p>
          <w:p w14:paraId="2FF337CE" w14:textId="77777777" w:rsidR="0025440E" w:rsidRPr="00C77207" w:rsidRDefault="0025440E" w:rsidP="008543B6">
            <w:pPr>
              <w:spacing w:line="276" w:lineRule="auto"/>
              <w:rPr>
                <w:rFonts w:cstheme="minorHAnsi"/>
                <w:color w:val="000000" w:themeColor="text1"/>
                <w:lang w:val="de-DE"/>
              </w:rPr>
            </w:pPr>
          </w:p>
          <w:p w14:paraId="20B0B028" w14:textId="40D14C35" w:rsidR="0025440E" w:rsidRPr="00C77207" w:rsidRDefault="0025440E" w:rsidP="008543B6">
            <w:pPr>
              <w:spacing w:line="276" w:lineRule="auto"/>
              <w:rPr>
                <w:rFonts w:cstheme="minorHAnsi"/>
                <w:color w:val="000000" w:themeColor="text1"/>
                <w:lang w:val="de-DE"/>
              </w:rPr>
            </w:pPr>
            <w:r w:rsidRPr="00C77207">
              <w:rPr>
                <w:rFonts w:cstheme="minorHAnsi"/>
                <w:color w:val="000000" w:themeColor="text1"/>
                <w:lang w:val="de-DE"/>
              </w:rPr>
              <w:t>Zudem müssen Betroffene auf verschiedene strafprozessuale Vorschriften, die ihrem Schutz dienen, aufmerksam gemacht werden, wie etwa der Möglichkeit der Aufnahme einer Vernehmung auf Video (s. §</w:t>
            </w:r>
            <w:r w:rsidR="005A0A85" w:rsidRPr="00C77207">
              <w:rPr>
                <w:rFonts w:cstheme="minorHAnsi"/>
                <w:color w:val="000000" w:themeColor="text1"/>
                <w:lang w:val="de-DE"/>
              </w:rPr>
              <w:t xml:space="preserve"> </w:t>
            </w:r>
            <w:r w:rsidRPr="00C77207">
              <w:rPr>
                <w:rFonts w:cstheme="minorHAnsi"/>
                <w:color w:val="000000" w:themeColor="text1"/>
                <w:lang w:val="de-DE"/>
              </w:rPr>
              <w:t xml:space="preserve">406i </w:t>
            </w:r>
            <w:r w:rsidR="005A0A85" w:rsidRPr="00C77207">
              <w:rPr>
                <w:rFonts w:cstheme="minorHAnsi"/>
                <w:color w:val="000000" w:themeColor="text1"/>
                <w:lang w:val="de-DE"/>
              </w:rPr>
              <w:t>Abs. 3</w:t>
            </w:r>
            <w:r w:rsidRPr="00C77207">
              <w:rPr>
                <w:rFonts w:cstheme="minorHAnsi"/>
                <w:color w:val="000000" w:themeColor="text1"/>
                <w:lang w:val="de-DE"/>
              </w:rPr>
              <w:t xml:space="preserve"> i</w:t>
            </w:r>
            <w:r w:rsidR="005A0A85" w:rsidRPr="00C77207">
              <w:rPr>
                <w:rFonts w:cstheme="minorHAnsi"/>
                <w:color w:val="000000" w:themeColor="text1"/>
                <w:lang w:val="de-DE"/>
              </w:rPr>
              <w:t>.</w:t>
            </w:r>
            <w:r w:rsidRPr="00C77207">
              <w:rPr>
                <w:rFonts w:cstheme="minorHAnsi"/>
                <w:color w:val="000000" w:themeColor="text1"/>
                <w:lang w:val="de-DE"/>
              </w:rPr>
              <w:t>V</w:t>
            </w:r>
            <w:r w:rsidR="005A0A85" w:rsidRPr="00C77207">
              <w:rPr>
                <w:rFonts w:cstheme="minorHAnsi"/>
                <w:color w:val="000000" w:themeColor="text1"/>
                <w:lang w:val="de-DE"/>
              </w:rPr>
              <w:t>.</w:t>
            </w:r>
            <w:r w:rsidRPr="00C77207">
              <w:rPr>
                <w:rFonts w:cstheme="minorHAnsi"/>
                <w:color w:val="000000" w:themeColor="text1"/>
                <w:lang w:val="de-DE"/>
              </w:rPr>
              <w:t>m</w:t>
            </w:r>
            <w:r w:rsidR="005A0A85" w:rsidRPr="00C77207">
              <w:rPr>
                <w:rFonts w:cstheme="minorHAnsi"/>
                <w:color w:val="000000" w:themeColor="text1"/>
                <w:lang w:val="de-DE"/>
              </w:rPr>
              <w:t>.</w:t>
            </w:r>
            <w:r w:rsidRPr="00C77207">
              <w:rPr>
                <w:rFonts w:cstheme="minorHAnsi"/>
                <w:color w:val="000000" w:themeColor="text1"/>
                <w:lang w:val="de-DE"/>
              </w:rPr>
              <w:t xml:space="preserve"> §§</w:t>
            </w:r>
            <w:r w:rsidR="005A0A85" w:rsidRPr="00C77207">
              <w:rPr>
                <w:rFonts w:cstheme="minorHAnsi"/>
                <w:color w:val="000000" w:themeColor="text1"/>
                <w:lang w:val="de-DE"/>
              </w:rPr>
              <w:t xml:space="preserve"> </w:t>
            </w:r>
            <w:r w:rsidRPr="00C77207">
              <w:rPr>
                <w:rFonts w:cstheme="minorHAnsi"/>
                <w:color w:val="000000" w:themeColor="text1"/>
                <w:lang w:val="de-DE"/>
              </w:rPr>
              <w:t xml:space="preserve">58a, 255a </w:t>
            </w:r>
            <w:r w:rsidR="005A0A85" w:rsidRPr="00C77207">
              <w:rPr>
                <w:rFonts w:cstheme="minorHAnsi"/>
                <w:color w:val="000000" w:themeColor="text1"/>
                <w:lang w:val="de-DE"/>
              </w:rPr>
              <w:t>Abs. 2</w:t>
            </w:r>
            <w:r w:rsidRPr="00C77207">
              <w:rPr>
                <w:rFonts w:cstheme="minorHAnsi"/>
                <w:color w:val="000000" w:themeColor="text1"/>
                <w:lang w:val="de-DE"/>
              </w:rPr>
              <w:t xml:space="preserve"> StPO), sowie auf Befugnisse außerhalb des Strafverfahrens, §</w:t>
            </w:r>
            <w:r w:rsidR="005A0A85" w:rsidRPr="00C77207">
              <w:rPr>
                <w:rFonts w:cstheme="minorHAnsi"/>
                <w:color w:val="000000" w:themeColor="text1"/>
                <w:lang w:val="de-DE"/>
              </w:rPr>
              <w:t xml:space="preserve"> </w:t>
            </w:r>
            <w:r w:rsidRPr="00C77207">
              <w:rPr>
                <w:rFonts w:cstheme="minorHAnsi"/>
                <w:color w:val="000000" w:themeColor="text1"/>
                <w:lang w:val="de-DE"/>
              </w:rPr>
              <w:t>406j StPO.</w:t>
            </w:r>
          </w:p>
          <w:p w14:paraId="3562AB99" w14:textId="77777777" w:rsidR="0025440E" w:rsidRPr="00C77207" w:rsidRDefault="0025440E" w:rsidP="008543B6">
            <w:pPr>
              <w:spacing w:line="276" w:lineRule="auto"/>
              <w:rPr>
                <w:rFonts w:cstheme="minorHAnsi"/>
                <w:color w:val="000000" w:themeColor="text1"/>
                <w:lang w:val="de-DE"/>
              </w:rPr>
            </w:pPr>
          </w:p>
          <w:p w14:paraId="4363C7D8" w14:textId="1C3DFD52" w:rsidR="0025440E" w:rsidRDefault="0025440E" w:rsidP="008543B6">
            <w:pPr>
              <w:spacing w:line="276" w:lineRule="auto"/>
              <w:rPr>
                <w:rFonts w:cstheme="minorHAnsi"/>
                <w:color w:val="000000" w:themeColor="text1"/>
                <w:lang w:val="de-DE"/>
              </w:rPr>
            </w:pPr>
            <w:r w:rsidRPr="00C77207">
              <w:rPr>
                <w:rFonts w:cstheme="minorHAnsi"/>
                <w:color w:val="000000" w:themeColor="text1"/>
                <w:lang w:val="de-DE"/>
              </w:rPr>
              <w:t>Nach §</w:t>
            </w:r>
            <w:r w:rsidR="005A0A85" w:rsidRPr="00C77207">
              <w:rPr>
                <w:rFonts w:cstheme="minorHAnsi"/>
                <w:color w:val="000000" w:themeColor="text1"/>
                <w:lang w:val="de-DE"/>
              </w:rPr>
              <w:t xml:space="preserve"> </w:t>
            </w:r>
            <w:r w:rsidRPr="00C77207">
              <w:rPr>
                <w:rFonts w:cstheme="minorHAnsi"/>
                <w:color w:val="000000" w:themeColor="text1"/>
                <w:lang w:val="de-DE"/>
              </w:rPr>
              <w:t xml:space="preserve">1 </w:t>
            </w:r>
            <w:r w:rsidR="005A0A85" w:rsidRPr="00C77207">
              <w:rPr>
                <w:rFonts w:cstheme="minorHAnsi"/>
                <w:color w:val="000000" w:themeColor="text1"/>
                <w:lang w:val="de-DE"/>
              </w:rPr>
              <w:t>Abs. 1</w:t>
            </w:r>
            <w:r w:rsidRPr="00C77207">
              <w:rPr>
                <w:rFonts w:cstheme="minorHAnsi"/>
                <w:color w:val="000000" w:themeColor="text1"/>
                <w:lang w:val="de-DE"/>
              </w:rPr>
              <w:t xml:space="preserve"> OEG steht Betroffenen eines tätlichen Angriffs eine Entschädigung wegen der gesundheitlichen und wirtschaftlichen Folgen zu, wozu insbesondere die Heilbehandlung zählt. Nach ständiger Rechtsprechung des Bundessozialgerichts zählt zu tätlichen Angriffen aufgrund der Gefahr einer schweren psychischen Schädigung auch „gewaltloser“ sexueller Missbrauch eines Kindes.</w:t>
            </w:r>
            <w:r w:rsidRPr="00C77207">
              <w:rPr>
                <w:rStyle w:val="FootnoteReference"/>
                <w:rFonts w:cstheme="minorHAnsi"/>
                <w:color w:val="000000" w:themeColor="text1"/>
                <w:lang w:val="de-DE"/>
              </w:rPr>
              <w:footnoteReference w:id="45"/>
            </w:r>
            <w:r w:rsidR="00BD3B0B">
              <w:rPr>
                <w:rFonts w:cstheme="minorHAnsi"/>
                <w:color w:val="000000" w:themeColor="text1"/>
                <w:lang w:val="de-DE"/>
              </w:rPr>
              <w:t xml:space="preserve"> Zum 01.01.2024 tritt das neue SGB XIV in Kraft, durch das das Soziale Entschädigungsrecht (SER) neu geregelt wird. Hierdurch soll auch eine Besserstellung der Opfer sexueller Gewalt erreicht werden.</w:t>
            </w:r>
            <w:r w:rsidR="00BD3B0B">
              <w:rPr>
                <w:rStyle w:val="FootnoteReference"/>
                <w:rFonts w:cstheme="minorHAnsi"/>
                <w:color w:val="000000" w:themeColor="text1"/>
                <w:lang w:val="de-DE"/>
              </w:rPr>
              <w:footnoteReference w:id="46"/>
            </w:r>
          </w:p>
          <w:p w14:paraId="613DB3E8" w14:textId="065DC1A3" w:rsidR="00787852" w:rsidRDefault="00787852" w:rsidP="008543B6">
            <w:pPr>
              <w:spacing w:line="276" w:lineRule="auto"/>
              <w:rPr>
                <w:rFonts w:cstheme="minorHAnsi"/>
                <w:color w:val="000000" w:themeColor="text1"/>
                <w:lang w:val="de-DE"/>
              </w:rPr>
            </w:pPr>
          </w:p>
          <w:p w14:paraId="55DA4302" w14:textId="7A0B2837" w:rsidR="00E8506F" w:rsidRDefault="00E8506F" w:rsidP="008543B6">
            <w:pPr>
              <w:spacing w:line="276" w:lineRule="auto"/>
              <w:rPr>
                <w:rFonts w:cstheme="minorHAnsi"/>
                <w:color w:val="000000" w:themeColor="text1"/>
                <w:lang w:val="de-DE"/>
              </w:rPr>
            </w:pPr>
            <w:r>
              <w:rPr>
                <w:rFonts w:cstheme="minorHAnsi"/>
                <w:color w:val="000000" w:themeColor="text1"/>
                <w:lang w:val="de-DE"/>
              </w:rPr>
              <w:t xml:space="preserve">In Deutschland besteht eine Krankenversicherungspflicht. Nach § 27 Abs. 1 SGB V haben Versicherte einen Anspruch auf Krankenbehandlung, die nach Nr. 1 Psychotherapie </w:t>
            </w:r>
            <w:r>
              <w:rPr>
                <w:rFonts w:cstheme="minorHAnsi"/>
                <w:color w:val="000000" w:themeColor="text1"/>
                <w:lang w:val="de-DE"/>
              </w:rPr>
              <w:lastRenderedPageBreak/>
              <w:t>und nach Nr. 6 auch Leistungen zur medizinischen Rehabilitation umfasst.</w:t>
            </w:r>
          </w:p>
          <w:p w14:paraId="1912D219" w14:textId="0212D656" w:rsidR="00EB7DC4" w:rsidRDefault="00EB7DC4" w:rsidP="008543B6">
            <w:pPr>
              <w:spacing w:line="276" w:lineRule="auto"/>
              <w:rPr>
                <w:rFonts w:cstheme="minorHAnsi"/>
                <w:color w:val="000000" w:themeColor="text1"/>
                <w:lang w:val="de-DE"/>
              </w:rPr>
            </w:pPr>
          </w:p>
          <w:p w14:paraId="3F8DC30D" w14:textId="565F0C9A" w:rsidR="00A9209A" w:rsidRPr="00C77207" w:rsidRDefault="00A50593" w:rsidP="008543B6">
            <w:pPr>
              <w:spacing w:line="276" w:lineRule="auto"/>
              <w:rPr>
                <w:rFonts w:cstheme="minorHAnsi"/>
                <w:color w:val="000000" w:themeColor="text1"/>
                <w:lang w:val="de-DE"/>
              </w:rPr>
            </w:pPr>
            <w:r>
              <w:rPr>
                <w:rFonts w:cstheme="minorHAnsi"/>
                <w:color w:val="000000" w:themeColor="text1"/>
                <w:lang w:val="de-DE"/>
              </w:rPr>
              <w:t>Auf die</w:t>
            </w:r>
            <w:r w:rsidR="00EB7DC4">
              <w:rPr>
                <w:rFonts w:cstheme="minorHAnsi"/>
                <w:color w:val="000000" w:themeColor="text1"/>
                <w:lang w:val="de-DE"/>
              </w:rPr>
              <w:t xml:space="preserve"> Möglichkeit </w:t>
            </w:r>
            <w:r>
              <w:rPr>
                <w:rFonts w:cstheme="minorHAnsi"/>
                <w:color w:val="000000" w:themeColor="text1"/>
                <w:lang w:val="de-DE"/>
              </w:rPr>
              <w:t>der Hilfe durch Opferhilfeeinrichtungen wie z.B. den Weißen Ring oder Frauenhäuser soll</w:t>
            </w:r>
            <w:r w:rsidR="00EB7DC4">
              <w:rPr>
                <w:rFonts w:cstheme="minorHAnsi"/>
                <w:color w:val="000000" w:themeColor="text1"/>
                <w:lang w:val="de-DE"/>
              </w:rPr>
              <w:t xml:space="preserve"> nach § 406j Nr. </w:t>
            </w:r>
            <w:r>
              <w:rPr>
                <w:rFonts w:cstheme="minorHAnsi"/>
                <w:color w:val="000000" w:themeColor="text1"/>
                <w:lang w:val="de-DE"/>
              </w:rPr>
              <w:t>5 StPO hingewiesen werden. Einen Überblick über lokale Hilfseinrichtungen bietet das Hilfe-Portal-Sexueller Missbrauch</w:t>
            </w:r>
            <w:r>
              <w:rPr>
                <w:rStyle w:val="FootnoteReference"/>
                <w:rFonts w:cstheme="minorHAnsi"/>
                <w:color w:val="000000" w:themeColor="text1"/>
                <w:lang w:val="de-DE"/>
              </w:rPr>
              <w:footnoteReference w:id="47"/>
            </w:r>
            <w:r w:rsidR="00BD3B0B">
              <w:rPr>
                <w:rFonts w:cstheme="minorHAnsi"/>
                <w:color w:val="000000" w:themeColor="text1"/>
                <w:lang w:val="de-DE"/>
              </w:rPr>
              <w:t>, das ein Angebot des Unabhängigen Beauftragten für Fragen des sexuellen Missbrauchs darstellt.</w:t>
            </w:r>
            <w:r w:rsidR="004C79E5">
              <w:rPr>
                <w:rFonts w:cstheme="minorHAnsi"/>
                <w:color w:val="000000" w:themeColor="text1"/>
                <w:lang w:val="de-DE"/>
              </w:rPr>
              <w:t xml:space="preserve"> Ein einheitlicher gesetzlicher Anspruch auf Zugang zu den zahlreichen Opferschutzmöglichkeiten existiert nicht. Teilweise wird die Kooperation der Justizministerien mit Opferschutzeinrichtungen durch Kooperationsvereinbarungen </w:t>
            </w:r>
            <w:r w:rsidR="006416F0">
              <w:rPr>
                <w:rFonts w:cstheme="minorHAnsi"/>
                <w:color w:val="000000" w:themeColor="text1"/>
                <w:lang w:val="de-DE"/>
              </w:rPr>
              <w:t>sichergestellt</w:t>
            </w:r>
            <w:r w:rsidR="004C79E5">
              <w:rPr>
                <w:rFonts w:cstheme="minorHAnsi"/>
                <w:color w:val="000000" w:themeColor="text1"/>
                <w:lang w:val="de-DE"/>
              </w:rPr>
              <w:t>.</w:t>
            </w:r>
            <w:r w:rsidR="004C79E5">
              <w:rPr>
                <w:rStyle w:val="FootnoteReference"/>
                <w:rFonts w:cstheme="minorHAnsi"/>
                <w:color w:val="000000" w:themeColor="text1"/>
                <w:lang w:val="de-DE"/>
              </w:rPr>
              <w:footnoteReference w:id="48"/>
            </w:r>
          </w:p>
          <w:p w14:paraId="3C79E77E" w14:textId="77777777" w:rsidR="00A9209A" w:rsidRDefault="00A9209A" w:rsidP="008543B6">
            <w:pPr>
              <w:spacing w:line="276" w:lineRule="auto"/>
              <w:rPr>
                <w:rFonts w:cstheme="minorHAnsi"/>
                <w:color w:val="000000" w:themeColor="text1"/>
                <w:lang w:val="de-DE"/>
              </w:rPr>
            </w:pPr>
          </w:p>
          <w:p w14:paraId="555D00A9" w14:textId="42EDDBD1" w:rsidR="006C7EF3" w:rsidRPr="00C77207" w:rsidRDefault="006C7EF3" w:rsidP="008543B6">
            <w:pPr>
              <w:spacing w:line="276" w:lineRule="auto"/>
              <w:rPr>
                <w:rFonts w:cstheme="minorHAnsi"/>
                <w:color w:val="000000" w:themeColor="text1"/>
                <w:lang w:val="de-DE"/>
              </w:rPr>
            </w:pPr>
            <w:r>
              <w:rPr>
                <w:rFonts w:cstheme="minorHAnsi"/>
                <w:color w:val="000000" w:themeColor="text1"/>
                <w:lang w:val="de-DE"/>
              </w:rPr>
              <w:t>„</w:t>
            </w:r>
            <w:r w:rsidRPr="006C7EF3">
              <w:rPr>
                <w:rFonts w:cstheme="minorHAnsi"/>
                <w:color w:val="000000" w:themeColor="text1"/>
                <w:lang w:val="de-DE"/>
              </w:rPr>
              <w:t xml:space="preserve">Ausreisepflichtige Opfer von Menschenhandel haben einen gesetzlichen Anspruch auf eine mindestens dreimonatige Ausreisefrist, bei den Fachberatungsstellen auch bekannt unter dem Begriff „Bedenk- und Stabilisierungsfrist“. In dieser Zeit dürfen die Betroffenen bedenken, ob sie mit den Behörden im Rahmen eines Ermittlungsverfahrens zusammenarbeiten möchten.42 Sie dürfen während der Ausreisefrist grundsätzlich nicht abgeschoben werden, es sei denn, es liegen die Voraussetzungen des § 59 Absatz 7 S. 3 AufenthG vor. Vor einer Abschiebung muss sichergestellt werden, dass die </w:t>
            </w:r>
            <w:r w:rsidRPr="006C7EF3">
              <w:rPr>
                <w:rFonts w:cstheme="minorHAnsi"/>
                <w:color w:val="000000" w:themeColor="text1"/>
                <w:lang w:val="de-DE"/>
              </w:rPr>
              <w:lastRenderedPageBreak/>
              <w:t>oder der Minderjährige im Rückkehrstaat einem Mitglied der Familie, einer zur Personensorge berechtigten Person oder einer geeigneten Aufnahmeeinrichtung übergeben wird.</w:t>
            </w:r>
            <w:r>
              <w:rPr>
                <w:rFonts w:cstheme="minorHAnsi"/>
                <w:color w:val="000000" w:themeColor="text1"/>
                <w:lang w:val="de-DE"/>
              </w:rPr>
              <w:t>“</w:t>
            </w:r>
            <w:r>
              <w:rPr>
                <w:rStyle w:val="FootnoteReference"/>
                <w:rFonts w:cstheme="minorHAnsi"/>
                <w:color w:val="000000" w:themeColor="text1"/>
                <w:lang w:val="de-DE"/>
              </w:rPr>
              <w:footnoteReference w:id="49"/>
            </w:r>
          </w:p>
        </w:tc>
      </w:tr>
      <w:tr w:rsidR="0025440E" w:rsidRPr="00F206A4" w14:paraId="11FA91A9" w14:textId="77777777" w:rsidTr="00A57D8B">
        <w:trPr>
          <w:trHeight w:val="576"/>
        </w:trPr>
        <w:tc>
          <w:tcPr>
            <w:tcW w:w="425" w:type="dxa"/>
          </w:tcPr>
          <w:p w14:paraId="51B2A7F3" w14:textId="77777777" w:rsidR="0025440E" w:rsidRPr="0025440E" w:rsidRDefault="0025440E" w:rsidP="0025440E">
            <w:pPr>
              <w:numPr>
                <w:ilvl w:val="0"/>
                <w:numId w:val="2"/>
              </w:numPr>
              <w:contextualSpacing/>
              <w:rPr>
                <w:rFonts w:ascii="Calibri" w:hAnsi="Calibri" w:cs="Calibri"/>
                <w:szCs w:val="28"/>
                <w:lang w:val="de-DE"/>
              </w:rPr>
            </w:pPr>
          </w:p>
        </w:tc>
        <w:tc>
          <w:tcPr>
            <w:tcW w:w="5387" w:type="dxa"/>
          </w:tcPr>
          <w:p w14:paraId="4DE204B2" w14:textId="0FC36494" w:rsidR="0025440E" w:rsidRPr="006A369F" w:rsidRDefault="006A369F" w:rsidP="0025440E">
            <w:pPr>
              <w:rPr>
                <w:rFonts w:cstheme="minorHAnsi"/>
                <w:color w:val="000000" w:themeColor="text1"/>
                <w:lang w:val="de-DE"/>
              </w:rPr>
            </w:pPr>
            <w:r w:rsidRPr="006A369F">
              <w:rPr>
                <w:rFonts w:ascii="Calibri" w:eastAsia="Calibri" w:hAnsi="Calibri" w:cs="Calibri"/>
                <w:color w:val="000000" w:themeColor="text1"/>
                <w:lang w:val="de-DE"/>
              </w:rPr>
              <w:t xml:space="preserve">Einrichtung eines </w:t>
            </w:r>
            <w:r w:rsidRPr="006A369F">
              <w:rPr>
                <w:rFonts w:ascii="Calibri" w:eastAsia="Calibri" w:hAnsi="Calibri" w:cs="Calibri"/>
                <w:b/>
                <w:color w:val="000000" w:themeColor="text1"/>
                <w:lang w:val="de-DE"/>
              </w:rPr>
              <w:t>nationalen Meldemechanismus (z. B. einer Hotline)</w:t>
            </w:r>
            <w:r w:rsidRPr="006A369F">
              <w:rPr>
                <w:rFonts w:ascii="Calibri" w:eastAsia="Calibri" w:hAnsi="Calibri" w:cs="Calibri"/>
                <w:color w:val="000000" w:themeColor="text1"/>
                <w:lang w:val="de-DE"/>
              </w:rPr>
              <w:t>, der den Zugang zu Diensten koordiniert und dazu beiträgt, die Zurückhaltung bei der Meldung</w:t>
            </w:r>
            <w:r w:rsidR="002E47B3">
              <w:rPr>
                <w:rFonts w:ascii="Calibri" w:eastAsia="Calibri" w:hAnsi="Calibri" w:cs="Calibri"/>
                <w:color w:val="000000" w:themeColor="text1"/>
                <w:lang w:val="de-DE"/>
              </w:rPr>
              <w:t xml:space="preserve"> </w:t>
            </w:r>
            <w:r w:rsidRPr="006A369F">
              <w:rPr>
                <w:rFonts w:ascii="Calibri" w:eastAsia="Calibri" w:hAnsi="Calibri" w:cs="Calibri"/>
                <w:color w:val="000000" w:themeColor="text1"/>
                <w:lang w:val="de-DE"/>
              </w:rPr>
              <w:t>sexuelle</w:t>
            </w:r>
            <w:r w:rsidR="002E47B3">
              <w:rPr>
                <w:rFonts w:ascii="Calibri" w:eastAsia="Calibri" w:hAnsi="Calibri" w:cs="Calibri"/>
                <w:color w:val="000000" w:themeColor="text1"/>
                <w:lang w:val="de-DE"/>
              </w:rPr>
              <w:t>r</w:t>
            </w:r>
            <w:r w:rsidRPr="006A369F">
              <w:rPr>
                <w:rFonts w:ascii="Calibri" w:eastAsia="Calibri" w:hAnsi="Calibri" w:cs="Calibri"/>
                <w:color w:val="000000" w:themeColor="text1"/>
                <w:lang w:val="de-DE"/>
              </w:rPr>
              <w:t xml:space="preserve"> Ausbeutung von Kindern zu überwinden.</w:t>
            </w:r>
          </w:p>
        </w:tc>
        <w:tc>
          <w:tcPr>
            <w:tcW w:w="1701" w:type="dxa"/>
          </w:tcPr>
          <w:p w14:paraId="72DAFE52" w14:textId="7AD644E4" w:rsidR="0025440E" w:rsidRPr="00B40C18" w:rsidRDefault="00C55A34" w:rsidP="0025440E">
            <w:pPr>
              <w:rPr>
                <w:rFonts w:ascii="Calibri" w:hAnsi="Calibri" w:cs="Calibri"/>
                <w:bCs/>
                <w:color w:val="000000" w:themeColor="text1"/>
                <w:lang w:val="en-GB"/>
              </w:rPr>
            </w:pPr>
            <w:proofErr w:type="spellStart"/>
            <w:r>
              <w:rPr>
                <w:rFonts w:ascii="Calibri" w:hAnsi="Calibri" w:cs="Calibri"/>
                <w:bCs/>
                <w:color w:val="000000" w:themeColor="text1"/>
                <w:lang w:val="en-GB"/>
              </w:rPr>
              <w:t>Ja</w:t>
            </w:r>
            <w:proofErr w:type="spellEnd"/>
          </w:p>
        </w:tc>
        <w:tc>
          <w:tcPr>
            <w:tcW w:w="5523" w:type="dxa"/>
          </w:tcPr>
          <w:p w14:paraId="41C4E79B" w14:textId="19A495B7" w:rsidR="0025440E" w:rsidRPr="00C77207" w:rsidRDefault="0025440E" w:rsidP="008543B6">
            <w:pPr>
              <w:rPr>
                <w:rFonts w:cstheme="minorHAnsi"/>
                <w:lang w:val="de-DE"/>
              </w:rPr>
            </w:pPr>
            <w:r w:rsidRPr="00C77207">
              <w:rPr>
                <w:rFonts w:cstheme="minorHAnsi"/>
                <w:lang w:val="de-DE"/>
              </w:rPr>
              <w:t>Es existieren mehrere bundesweit kostenlos zugängliche und bekannte Telefon-Hotlines, die im Falle eines Kindesmissbrauchs zur Verfügung stehen.</w:t>
            </w:r>
            <w:r w:rsidR="000C544C" w:rsidRPr="00C77207">
              <w:rPr>
                <w:rStyle w:val="FootnoteReference"/>
                <w:rFonts w:cstheme="minorHAnsi"/>
                <w:lang w:val="de-DE"/>
              </w:rPr>
              <w:footnoteReference w:id="50"/>
            </w:r>
            <w:r w:rsidRPr="00C77207">
              <w:rPr>
                <w:rFonts w:cstheme="minorHAnsi"/>
                <w:lang w:val="de-DE"/>
              </w:rPr>
              <w:t xml:space="preserve"> Hierunter fallen insbesondere das Elterntelefon (0800 111 0 550) und das Kinder und- Jugendtelefon (116 111). Diese werden von dem Verein „Nummer gegen Kummer e.V.“ angeboten, der staatlicherseits durch das Bundesfamilienministerium, die Bundeszentrale für gesundheitliche Aufklärung und die Europäische Union gefördert wird.</w:t>
            </w:r>
            <w:r w:rsidR="0053004D" w:rsidRPr="00C77207">
              <w:rPr>
                <w:rStyle w:val="FootnoteReference"/>
                <w:rFonts w:cstheme="minorHAnsi"/>
                <w:lang w:val="de-DE"/>
              </w:rPr>
              <w:footnoteReference w:id="51"/>
            </w:r>
            <w:r w:rsidRPr="00C77207">
              <w:rPr>
                <w:rFonts w:cstheme="minorHAnsi"/>
                <w:lang w:val="de-DE"/>
              </w:rPr>
              <w:t xml:space="preserve"> Neben dem telefonischen Angebot bietet der Verein für Kinder und Jugendliche eine ebenfalls kostenfreie Online-Beratung per Mail oder Chat an. Daneben stehen zahlreiche weitere Angebote diverser Anbieter, etwa der kirchlichen Telefonseelsorge, zur Verfügung. Speziell für Opfer im Bereich des Menschenhandels steht neben jeder Polizeidienststelle das bundesweite Hilfetelefon „Gewalt gegen Frauen“ (0800 011 60 16)</w:t>
            </w:r>
            <w:r w:rsidR="0053004D" w:rsidRPr="00C77207">
              <w:rPr>
                <w:rStyle w:val="FootnoteReference"/>
                <w:rFonts w:cstheme="minorHAnsi"/>
                <w:lang w:val="de-DE"/>
              </w:rPr>
              <w:footnoteReference w:id="52"/>
            </w:r>
            <w:r w:rsidRPr="00C77207">
              <w:rPr>
                <w:rFonts w:cstheme="minorHAnsi"/>
                <w:lang w:val="de-DE"/>
              </w:rPr>
              <w:t xml:space="preserve">, sowie unter der Webseite www.hilfetelefon.de E-Mail und Chat-Beratung zur Verfügung. Diese Beratung kann nicht nur </w:t>
            </w:r>
            <w:r w:rsidR="006416F0">
              <w:rPr>
                <w:rFonts w:cstheme="minorHAnsi"/>
                <w:lang w:val="de-DE"/>
              </w:rPr>
              <w:t>auf</w:t>
            </w:r>
            <w:r w:rsidR="006416F0" w:rsidRPr="00C77207">
              <w:rPr>
                <w:rFonts w:cstheme="minorHAnsi"/>
                <w:lang w:val="de-DE"/>
              </w:rPr>
              <w:t xml:space="preserve"> Deutsch</w:t>
            </w:r>
            <w:r w:rsidRPr="00C77207">
              <w:rPr>
                <w:rFonts w:cstheme="minorHAnsi"/>
                <w:lang w:val="de-DE"/>
              </w:rPr>
              <w:t xml:space="preserve">, sondern auch </w:t>
            </w:r>
            <w:r w:rsidR="006416F0">
              <w:rPr>
                <w:rFonts w:cstheme="minorHAnsi"/>
                <w:lang w:val="de-DE"/>
              </w:rPr>
              <w:t>auf</w:t>
            </w:r>
            <w:r w:rsidRPr="00C77207">
              <w:rPr>
                <w:rFonts w:cstheme="minorHAnsi"/>
                <w:lang w:val="de-DE"/>
              </w:rPr>
              <w:t xml:space="preserve"> 17 weiteren Sprachen erfolgen und </w:t>
            </w:r>
            <w:r w:rsidRPr="00C77207">
              <w:rPr>
                <w:rFonts w:cstheme="minorHAnsi"/>
                <w:lang w:val="de-DE"/>
              </w:rPr>
              <w:lastRenderedPageBreak/>
              <w:t>befindet sich in der Trägerschaft des Bundesamtes für Familie und zivilgesellschaftliche Aufgaben.</w:t>
            </w:r>
          </w:p>
          <w:p w14:paraId="565B91F0" w14:textId="5E6E6988" w:rsidR="0025440E" w:rsidRPr="00C77207" w:rsidRDefault="0025440E" w:rsidP="008543B6">
            <w:pPr>
              <w:rPr>
                <w:rFonts w:cstheme="minorHAnsi"/>
                <w:lang w:val="de-DE"/>
              </w:rPr>
            </w:pPr>
          </w:p>
        </w:tc>
      </w:tr>
      <w:tr w:rsidR="0025440E" w:rsidRPr="00F206A4" w14:paraId="7F3A3F0B" w14:textId="77777777" w:rsidTr="00A57D8B">
        <w:trPr>
          <w:trHeight w:val="576"/>
        </w:trPr>
        <w:tc>
          <w:tcPr>
            <w:tcW w:w="425" w:type="dxa"/>
          </w:tcPr>
          <w:p w14:paraId="54B2C255" w14:textId="77777777" w:rsidR="0025440E" w:rsidRPr="00B40C18" w:rsidRDefault="0025440E" w:rsidP="0025440E">
            <w:pPr>
              <w:numPr>
                <w:ilvl w:val="0"/>
                <w:numId w:val="2"/>
              </w:numPr>
              <w:contextualSpacing/>
              <w:rPr>
                <w:rFonts w:ascii="Calibri" w:hAnsi="Calibri" w:cs="Calibri"/>
                <w:szCs w:val="28"/>
                <w:lang w:val="de-DE"/>
              </w:rPr>
            </w:pPr>
          </w:p>
        </w:tc>
        <w:tc>
          <w:tcPr>
            <w:tcW w:w="5387" w:type="dxa"/>
          </w:tcPr>
          <w:p w14:paraId="68D60AB9" w14:textId="57261055" w:rsidR="0025440E" w:rsidRPr="008B688B" w:rsidRDefault="008B688B" w:rsidP="0025440E">
            <w:pPr>
              <w:tabs>
                <w:tab w:val="left" w:pos="960"/>
              </w:tabs>
              <w:rPr>
                <w:rFonts w:ascii="Calibri" w:hAnsi="Calibri" w:cs="Calibri"/>
                <w:color w:val="000000" w:themeColor="text1"/>
                <w:lang w:val="de-DE"/>
              </w:rPr>
            </w:pPr>
            <w:r w:rsidRPr="008B688B">
              <w:rPr>
                <w:rFonts w:ascii="Calibri" w:eastAsia="Calibri" w:hAnsi="Calibri" w:cs="Calibri"/>
                <w:color w:val="000000" w:themeColor="text1"/>
                <w:lang w:val="de-DE"/>
              </w:rPr>
              <w:t xml:space="preserve">Schaffung von Gesetzen, Vorschriften und Verfahren zur </w:t>
            </w:r>
            <w:r w:rsidRPr="008B688B">
              <w:rPr>
                <w:rFonts w:ascii="Calibri" w:eastAsia="Calibri" w:hAnsi="Calibri" w:cs="Calibri"/>
                <w:b/>
                <w:color w:val="000000" w:themeColor="text1"/>
                <w:lang w:val="de-DE"/>
              </w:rPr>
              <w:t>Vorratsdatenspeicherung und -aufbewahrung</w:t>
            </w:r>
            <w:r w:rsidRPr="008B688B">
              <w:rPr>
                <w:rFonts w:ascii="Calibri" w:eastAsia="Calibri" w:hAnsi="Calibri" w:cs="Calibri"/>
                <w:color w:val="000000" w:themeColor="text1"/>
                <w:lang w:val="de-DE"/>
              </w:rPr>
              <w:t>, um die Speicherung und Aufbewahrung digitaler Beweismittel zu gewährleisten und die Zusammenarbeit mit den Strafverfolgungsbehörden zu ermöglichen</w:t>
            </w:r>
            <w:r w:rsidR="006E56B4">
              <w:rPr>
                <w:rFonts w:ascii="Calibri" w:eastAsia="Calibri" w:hAnsi="Calibri" w:cs="Calibri"/>
                <w:color w:val="000000" w:themeColor="text1"/>
                <w:lang w:val="de-DE"/>
              </w:rPr>
              <w:t xml:space="preserve">. Geltung dieser Vorschriften </w:t>
            </w:r>
            <w:r w:rsidRPr="008B688B">
              <w:rPr>
                <w:rFonts w:ascii="Calibri" w:eastAsia="Calibri" w:hAnsi="Calibri" w:cs="Calibri"/>
                <w:color w:val="000000" w:themeColor="text1"/>
                <w:lang w:val="de-DE"/>
              </w:rPr>
              <w:t xml:space="preserve">für Internetdienstanbieter, Mobilfunkunternehmen, Unternehmen für digitale soziale Medien und Kommunikations- sowie Cloud-Speicherunternehmen, die ihren Sitz </w:t>
            </w:r>
            <w:r w:rsidR="007F0D8E">
              <w:rPr>
                <w:rFonts w:ascii="Calibri" w:eastAsia="Calibri" w:hAnsi="Calibri" w:cs="Calibri"/>
                <w:color w:val="000000" w:themeColor="text1"/>
                <w:lang w:val="de-DE"/>
              </w:rPr>
              <w:t>im Bereich der nationalen Gerichtsbarkeit</w:t>
            </w:r>
            <w:r w:rsidR="007F0D8E" w:rsidRPr="007F0D8E">
              <w:rPr>
                <w:rStyle w:val="CommentReference"/>
                <w:lang w:val="de-DE"/>
              </w:rPr>
              <w:t xml:space="preserve"> </w:t>
            </w:r>
            <w:r w:rsidR="007F0D8E">
              <w:rPr>
                <w:rStyle w:val="CommentReference"/>
                <w:sz w:val="22"/>
                <w:lang w:val="de-DE"/>
              </w:rPr>
              <w:t>ha</w:t>
            </w:r>
            <w:r w:rsidRPr="008B688B">
              <w:rPr>
                <w:rFonts w:ascii="Calibri" w:eastAsia="Calibri" w:hAnsi="Calibri" w:cs="Calibri"/>
                <w:color w:val="000000" w:themeColor="text1"/>
                <w:lang w:val="de-DE"/>
              </w:rPr>
              <w:t>ben oder dort tätig sind.</w:t>
            </w:r>
          </w:p>
        </w:tc>
        <w:tc>
          <w:tcPr>
            <w:tcW w:w="1701" w:type="dxa"/>
          </w:tcPr>
          <w:p w14:paraId="76663EDC" w14:textId="7884B9D8" w:rsidR="0025440E" w:rsidRPr="00B40C18" w:rsidRDefault="00C55A34" w:rsidP="0025440E">
            <w:pPr>
              <w:rPr>
                <w:rFonts w:ascii="Calibri" w:hAnsi="Calibri" w:cs="Calibri"/>
                <w:bCs/>
                <w:color w:val="000000" w:themeColor="text1"/>
                <w:lang w:val="en-GB"/>
              </w:rPr>
            </w:pPr>
            <w:proofErr w:type="spellStart"/>
            <w:r>
              <w:rPr>
                <w:rFonts w:ascii="Calibri" w:hAnsi="Calibri" w:cs="Calibri"/>
                <w:bCs/>
                <w:color w:val="000000" w:themeColor="text1"/>
                <w:lang w:val="en-GB"/>
              </w:rPr>
              <w:t>Teilweise</w:t>
            </w:r>
            <w:proofErr w:type="spellEnd"/>
          </w:p>
        </w:tc>
        <w:tc>
          <w:tcPr>
            <w:tcW w:w="5523" w:type="dxa"/>
          </w:tcPr>
          <w:p w14:paraId="38970948" w14:textId="1D79B767" w:rsidR="0025440E" w:rsidRPr="00C77207" w:rsidRDefault="0025440E" w:rsidP="008543B6">
            <w:pPr>
              <w:rPr>
                <w:rFonts w:cstheme="minorHAnsi"/>
                <w:lang w:val="de-DE"/>
              </w:rPr>
            </w:pPr>
            <w:r w:rsidRPr="00C77207">
              <w:rPr>
                <w:rFonts w:cstheme="minorHAnsi"/>
                <w:lang w:val="de-DE"/>
              </w:rPr>
              <w:t>Grundsätzlich ist Vorratsdatenspeicherung zur Verwendung im Rahmen der Strafverfolgung in Deutschland seit 2008 vorgesehen. Diese Speicherung persönlicher Daten ohne Vorliegen eines Tatverdachts wurde und wird jedoch vielfach kritisiert und führte dazu, dass die betreffenden Regelungen im Laufe der Zeit immer wieder von Gerichten für unwirksam erklärt und vom Gesetzgeber überarbeitet wurden. Die Vorratsdatenspeicherung war zuvor primär in den §§ 113a bis 113g TKG a</w:t>
            </w:r>
            <w:r w:rsidR="0053004D" w:rsidRPr="00C77207">
              <w:rPr>
                <w:rFonts w:cstheme="minorHAnsi"/>
                <w:lang w:val="de-DE"/>
              </w:rPr>
              <w:t>.</w:t>
            </w:r>
            <w:r w:rsidRPr="00C77207">
              <w:rPr>
                <w:rFonts w:cstheme="minorHAnsi"/>
                <w:lang w:val="de-DE"/>
              </w:rPr>
              <w:t>F</w:t>
            </w:r>
            <w:r w:rsidR="0053004D" w:rsidRPr="00C77207">
              <w:rPr>
                <w:rFonts w:cstheme="minorHAnsi"/>
                <w:lang w:val="de-DE"/>
              </w:rPr>
              <w:t>.</w:t>
            </w:r>
            <w:r w:rsidRPr="00C77207">
              <w:rPr>
                <w:rFonts w:cstheme="minorHAnsi"/>
                <w:lang w:val="de-DE"/>
              </w:rPr>
              <w:t xml:space="preserve"> geregelt. Die Bundesnetzagentur hat deren Wirkung faktisch ausgesetzt, indem sie im Juni 2017 erklärte, Verstöße hiergegen nicht mehr zu ahnden</w:t>
            </w:r>
            <w:r w:rsidR="000C544C" w:rsidRPr="00C77207">
              <w:rPr>
                <w:rFonts w:cstheme="minorHAnsi"/>
                <w:lang w:val="de-DE"/>
              </w:rPr>
              <w:t>,</w:t>
            </w:r>
            <w:r w:rsidRPr="00C77207">
              <w:rPr>
                <w:rFonts w:cstheme="minorHAnsi"/>
                <w:lang w:val="de-DE"/>
              </w:rPr>
              <w:t xml:space="preserve"> bis das Hauptverfahren zu einer hierzu anhängigen Klage abgeschlossen ist.</w:t>
            </w:r>
            <w:r w:rsidRPr="00C77207">
              <w:rPr>
                <w:rStyle w:val="FootnoteReference"/>
                <w:rFonts w:cstheme="minorHAnsi"/>
              </w:rPr>
              <w:footnoteReference w:id="53"/>
            </w:r>
            <w:r w:rsidRPr="00C77207">
              <w:rPr>
                <w:rFonts w:cstheme="minorHAnsi"/>
                <w:lang w:val="de-DE"/>
              </w:rPr>
              <w:t xml:space="preserve"> Aktuell liegt die Regelung der Vorratsdatenspeicherung dem Europäischen Gerichtshof (EuGH) zur Prüfung vor. Einer der Generalanwält</w:t>
            </w:r>
            <w:r w:rsidR="001B4F4F">
              <w:rPr>
                <w:rFonts w:cstheme="minorHAnsi"/>
                <w:lang w:val="de-DE"/>
              </w:rPr>
              <w:t>e</w:t>
            </w:r>
            <w:r w:rsidRPr="00C77207">
              <w:rPr>
                <w:rFonts w:cstheme="minorHAnsi"/>
                <w:lang w:val="de-DE"/>
              </w:rPr>
              <w:t xml:space="preserve"> des EuGH, die diesen in der Entscheidungsfindung beraten, äußerte jüngst, dass eine Datenspeicherung ohne Anlass verboten bleiben müsse.</w:t>
            </w:r>
            <w:r w:rsidRPr="00C77207">
              <w:rPr>
                <w:rStyle w:val="FootnoteReference"/>
                <w:rFonts w:cstheme="minorHAnsi"/>
                <w:lang w:val="de-DE"/>
              </w:rPr>
              <w:t xml:space="preserve"> </w:t>
            </w:r>
            <w:r w:rsidRPr="00C77207">
              <w:rPr>
                <w:rFonts w:cstheme="minorHAnsi"/>
                <w:lang w:val="de-DE"/>
              </w:rPr>
              <w:t>Der EuGH will sein Urteil noch im Jahr 2022 verkünden.</w:t>
            </w:r>
            <w:r w:rsidRPr="00C77207">
              <w:rPr>
                <w:rStyle w:val="FootnoteReference"/>
                <w:rFonts w:cstheme="minorHAnsi"/>
              </w:rPr>
              <w:footnoteReference w:id="54"/>
            </w:r>
            <w:r w:rsidRPr="00C77207">
              <w:rPr>
                <w:rFonts w:cstheme="minorHAnsi"/>
                <w:lang w:val="de-DE"/>
              </w:rPr>
              <w:t xml:space="preserve"> </w:t>
            </w:r>
          </w:p>
          <w:p w14:paraId="154BD60B" w14:textId="6A60707E" w:rsidR="0025440E" w:rsidRPr="00C77207" w:rsidRDefault="0025440E" w:rsidP="008543B6">
            <w:pPr>
              <w:rPr>
                <w:rFonts w:cstheme="minorHAnsi"/>
                <w:bCs/>
                <w:color w:val="141414"/>
                <w:shd w:val="clear" w:color="auto" w:fill="FFFFFF"/>
                <w:lang w:val="de-DE"/>
              </w:rPr>
            </w:pPr>
            <w:r w:rsidRPr="00C77207">
              <w:rPr>
                <w:rFonts w:cstheme="minorHAnsi"/>
                <w:lang w:val="de-DE"/>
              </w:rPr>
              <w:t xml:space="preserve">Ungeachtet ihrer faktischen Aussetzung wurde die Vorratsdatenspeicherung mit Wirkung zum </w:t>
            </w:r>
            <w:r w:rsidR="00FF4CC7" w:rsidRPr="00C77207">
              <w:rPr>
                <w:rFonts w:cstheme="minorHAnsi"/>
                <w:lang w:val="de-DE"/>
              </w:rPr>
              <w:t>0</w:t>
            </w:r>
            <w:r w:rsidRPr="00C77207">
              <w:rPr>
                <w:rFonts w:cstheme="minorHAnsi"/>
                <w:lang w:val="de-DE"/>
              </w:rPr>
              <w:t>1.12.2021 im Rahmen des Telekommunikationsmodernisierungsgesetzes erneut in Gesetzesform gegossen und ist nun im Wesentlichen in den §§ 175 bis 181 TKG n</w:t>
            </w:r>
            <w:r w:rsidR="00FF4CC7" w:rsidRPr="00C77207">
              <w:rPr>
                <w:rFonts w:cstheme="minorHAnsi"/>
                <w:lang w:val="de-DE"/>
              </w:rPr>
              <w:t>.</w:t>
            </w:r>
            <w:r w:rsidRPr="00C77207">
              <w:rPr>
                <w:rFonts w:cstheme="minorHAnsi"/>
                <w:lang w:val="de-DE"/>
              </w:rPr>
              <w:t>F</w:t>
            </w:r>
            <w:r w:rsidR="00FF4CC7" w:rsidRPr="00C77207">
              <w:rPr>
                <w:rFonts w:cstheme="minorHAnsi"/>
                <w:lang w:val="de-DE"/>
              </w:rPr>
              <w:t>.</w:t>
            </w:r>
            <w:r w:rsidRPr="00C77207">
              <w:rPr>
                <w:rFonts w:cstheme="minorHAnsi"/>
                <w:lang w:val="de-DE"/>
              </w:rPr>
              <w:t xml:space="preserve"> geregelt. Danach sind Anbieter in Deutschland öffentlich </w:t>
            </w:r>
            <w:r w:rsidRPr="00C77207">
              <w:rPr>
                <w:rFonts w:cstheme="minorHAnsi"/>
                <w:lang w:val="de-DE"/>
              </w:rPr>
              <w:lastRenderedPageBreak/>
              <w:t>zugänglicher Telekommunikationsdienste (z.B. Telefon, nunmehr wohl auch Mess</w:t>
            </w:r>
            <w:r w:rsidR="004B0521">
              <w:rPr>
                <w:rFonts w:cstheme="minorHAnsi"/>
                <w:lang w:val="de-DE"/>
              </w:rPr>
              <w:t>e</w:t>
            </w:r>
            <w:r w:rsidRPr="00C77207">
              <w:rPr>
                <w:rFonts w:cstheme="minorHAnsi"/>
                <w:lang w:val="de-DE"/>
              </w:rPr>
              <w:t>nger</w:t>
            </w:r>
            <w:r w:rsidR="004B0521">
              <w:rPr>
                <w:rFonts w:cstheme="minorHAnsi"/>
                <w:lang w:val="de-DE"/>
              </w:rPr>
              <w:t>-D</w:t>
            </w:r>
            <w:r w:rsidRPr="00C77207">
              <w:rPr>
                <w:rFonts w:cstheme="minorHAnsi"/>
                <w:lang w:val="de-DE"/>
              </w:rPr>
              <w:t>ienste nach § 3 Nr. 61 TKG n</w:t>
            </w:r>
            <w:r w:rsidR="00FF4CC7" w:rsidRPr="00C77207">
              <w:rPr>
                <w:rFonts w:cstheme="minorHAnsi"/>
                <w:lang w:val="de-DE"/>
              </w:rPr>
              <w:t>.</w:t>
            </w:r>
            <w:r w:rsidRPr="00C77207">
              <w:rPr>
                <w:rFonts w:cstheme="minorHAnsi"/>
                <w:lang w:val="de-DE"/>
              </w:rPr>
              <w:t>F</w:t>
            </w:r>
            <w:r w:rsidR="00FF4CC7" w:rsidRPr="00C77207">
              <w:rPr>
                <w:rFonts w:cstheme="minorHAnsi"/>
                <w:lang w:val="de-DE"/>
              </w:rPr>
              <w:t>.</w:t>
            </w:r>
            <w:r w:rsidRPr="00C77207">
              <w:rPr>
                <w:rStyle w:val="FootnoteReference"/>
                <w:rFonts w:cstheme="minorHAnsi"/>
              </w:rPr>
              <w:footnoteReference w:id="55"/>
            </w:r>
            <w:r w:rsidRPr="00C77207">
              <w:rPr>
                <w:rFonts w:cstheme="minorHAnsi"/>
                <w:lang w:val="de-DE"/>
              </w:rPr>
              <w:t>) zur Speicherung verschiedener Daten verpflichtet. Zu den zu speichernden Daten nach § 176 TKG n</w:t>
            </w:r>
            <w:r w:rsidR="00FF4CC7" w:rsidRPr="00C77207">
              <w:rPr>
                <w:rFonts w:cstheme="minorHAnsi"/>
                <w:lang w:val="de-DE"/>
              </w:rPr>
              <w:t>.</w:t>
            </w:r>
            <w:r w:rsidRPr="00C77207">
              <w:rPr>
                <w:rFonts w:cstheme="minorHAnsi"/>
                <w:lang w:val="de-DE"/>
              </w:rPr>
              <w:t>F</w:t>
            </w:r>
            <w:r w:rsidR="00FF4CC7" w:rsidRPr="00C77207">
              <w:rPr>
                <w:rFonts w:cstheme="minorHAnsi"/>
                <w:lang w:val="de-DE"/>
              </w:rPr>
              <w:t>.</w:t>
            </w:r>
            <w:r w:rsidRPr="00C77207">
              <w:rPr>
                <w:rFonts w:cstheme="minorHAnsi"/>
                <w:lang w:val="de-DE"/>
              </w:rPr>
              <w:t xml:space="preserve"> gehören beispielsweise die Rufnummer, Datum und Uhrzeit einer Verbindung, die IP-Adresse bei Internetnutzer</w:t>
            </w:r>
            <w:r w:rsidR="001B4F4F">
              <w:rPr>
                <w:rFonts w:cstheme="minorHAnsi"/>
                <w:lang w:val="de-DE"/>
              </w:rPr>
              <w:t>n</w:t>
            </w:r>
            <w:r w:rsidRPr="00C77207">
              <w:rPr>
                <w:rFonts w:cstheme="minorHAnsi"/>
                <w:lang w:val="de-DE"/>
              </w:rPr>
              <w:t xml:space="preserve"> und Standortdaten. Während Standortdaten nur für </w:t>
            </w:r>
            <w:r w:rsidR="00FF4CC7" w:rsidRPr="00C77207">
              <w:rPr>
                <w:rFonts w:cstheme="minorHAnsi"/>
                <w:lang w:val="de-DE"/>
              </w:rPr>
              <w:t>vier</w:t>
            </w:r>
            <w:r w:rsidRPr="00C77207">
              <w:rPr>
                <w:rFonts w:cstheme="minorHAnsi"/>
                <w:lang w:val="de-DE"/>
              </w:rPr>
              <w:t xml:space="preserve"> Wochen gespeichert werden müssen, sind alle übrigen gespeicherten Daten </w:t>
            </w:r>
            <w:r w:rsidR="00FF4CC7" w:rsidRPr="00C77207">
              <w:rPr>
                <w:rFonts w:cstheme="minorHAnsi"/>
                <w:lang w:val="de-DE"/>
              </w:rPr>
              <w:t>zehn</w:t>
            </w:r>
            <w:r w:rsidRPr="00C77207">
              <w:rPr>
                <w:rFonts w:cstheme="minorHAnsi"/>
                <w:lang w:val="de-DE"/>
              </w:rPr>
              <w:t xml:space="preserve"> Wochen lang aufzubewahren. Spätestens eine Woche nach Ablauf der Fristen sind die Daten zu löschen. Ausdrücklich nicht gespeichert werden dürfen etwa der </w:t>
            </w:r>
            <w:r w:rsidRPr="00C77207">
              <w:rPr>
                <w:rFonts w:cstheme="minorHAnsi"/>
                <w:bCs/>
                <w:color w:val="141414"/>
                <w:shd w:val="clear" w:color="auto" w:fill="FFFFFF"/>
                <w:lang w:val="de-DE"/>
              </w:rPr>
              <w:t xml:space="preserve">Inhalt der Kommunikation oder Daten über aufgerufene Internetseiten. Im Rahmen der Strafverfolgung dürfen die gespeicherten Daten sodann unter den </w:t>
            </w:r>
            <w:r w:rsidR="00FF4CC7" w:rsidRPr="00C77207">
              <w:rPr>
                <w:rFonts w:cstheme="minorHAnsi"/>
                <w:bCs/>
                <w:color w:val="141414"/>
                <w:shd w:val="clear" w:color="auto" w:fill="FFFFFF"/>
                <w:lang w:val="de-DE"/>
              </w:rPr>
              <w:t>Voraussetzungen</w:t>
            </w:r>
            <w:r w:rsidRPr="00C77207">
              <w:rPr>
                <w:rFonts w:cstheme="minorHAnsi"/>
                <w:bCs/>
                <w:color w:val="141414"/>
                <w:shd w:val="clear" w:color="auto" w:fill="FFFFFF"/>
                <w:lang w:val="de-DE"/>
              </w:rPr>
              <w:t xml:space="preserve"> des </w:t>
            </w:r>
            <w:r w:rsidRPr="00C77207">
              <w:rPr>
                <w:rFonts w:cstheme="minorHAnsi"/>
                <w:lang w:val="de-DE"/>
              </w:rPr>
              <w:t>§ 100g Abs. 2 und 3 StPO</w:t>
            </w:r>
            <w:r w:rsidRPr="00C77207">
              <w:rPr>
                <w:rFonts w:cstheme="minorHAnsi"/>
                <w:bCs/>
                <w:color w:val="141414"/>
                <w:shd w:val="clear" w:color="auto" w:fill="FFFFFF"/>
                <w:lang w:val="de-DE"/>
              </w:rPr>
              <w:t xml:space="preserve"> erhoben werden. Das ist beispielsweise der Fall, wenn die Datenerhebung für die Aufklärung einer Tat im Sinne des § 100g Abs. 2 Nr. 1 StPO oder ihres Versuchs andernfalls wesentlich erschwert wäre, die Tat oder der Versuch auch im Einzelfall schwerwiegend und die Datenerhebung angemessen ist. Unter die hierfür in Betracht kommenden Tatbestände fallen auch besonders schwerwiegende Sexualstraftaten wie sexueller Missbrauch von Kindern (§ 176 StGB), sowie teilweise auch die Verbreitung, der Erwerb und Besitz kinder- und jugendpornographischer Inhalte (§§ 184b Abs. 1 S. 1, Abs. 2 und 3, 184c Abs. 2 StGB) und auch nur teilweise Zwangsprostitution (§ 232a Abs. 3, 4 oder 5, 2. Hs. StGB), Zwangsarbeit (§ 232b Abs. 3, 4 i.V.m. § 232a Abs. 4, 5 2. Hs. StGB) und Ausbeutung unter Ausnutzung einer Freiheitsberaubung (§ 233a Abs. 3, 4, 2. Hs. StGB). Nicht erfasst ist beispielsweise der sexuelle Missbrauch </w:t>
            </w:r>
            <w:r w:rsidRPr="00C77207">
              <w:rPr>
                <w:rFonts w:cstheme="minorHAnsi"/>
                <w:bCs/>
                <w:color w:val="141414"/>
                <w:shd w:val="clear" w:color="auto" w:fill="FFFFFF"/>
                <w:lang w:val="de-DE"/>
              </w:rPr>
              <w:lastRenderedPageBreak/>
              <w:t>von Jugendlichen (§ 182 StGB), sodass hier zusätzlich eine andere einschlägige schwerwiegende Straftat vorliegen müsste, um die Datenerhebung zu ermöglichen. Solange die Vorratsdatenspeicherung aber faktisch ausgesetzt ist, bleibt all dies im Ergebnis gegenstandslos.</w:t>
            </w:r>
          </w:p>
          <w:p w14:paraId="4B866E17" w14:textId="25786397" w:rsidR="0025440E" w:rsidRPr="00C77207" w:rsidRDefault="0025440E" w:rsidP="008543B6">
            <w:pPr>
              <w:rPr>
                <w:rFonts w:cstheme="minorHAnsi"/>
                <w:lang w:val="de-DE"/>
              </w:rPr>
            </w:pPr>
            <w:r w:rsidRPr="00C77207">
              <w:rPr>
                <w:rFonts w:cstheme="minorHAnsi"/>
                <w:lang w:val="de-DE"/>
              </w:rPr>
              <w:t xml:space="preserve"> </w:t>
            </w:r>
          </w:p>
        </w:tc>
      </w:tr>
      <w:tr w:rsidR="0025440E" w:rsidRPr="00F206A4" w14:paraId="2C637C1E" w14:textId="77777777" w:rsidTr="00A57D8B">
        <w:trPr>
          <w:trHeight w:val="699"/>
        </w:trPr>
        <w:tc>
          <w:tcPr>
            <w:tcW w:w="425" w:type="dxa"/>
          </w:tcPr>
          <w:p w14:paraId="78918F44" w14:textId="77777777" w:rsidR="0025440E" w:rsidRPr="00B40C18" w:rsidRDefault="0025440E" w:rsidP="0025440E">
            <w:pPr>
              <w:numPr>
                <w:ilvl w:val="0"/>
                <w:numId w:val="2"/>
              </w:numPr>
              <w:contextualSpacing/>
              <w:rPr>
                <w:rFonts w:ascii="Calibri" w:hAnsi="Calibri" w:cs="Calibri"/>
                <w:szCs w:val="28"/>
                <w:lang w:val="de-DE"/>
              </w:rPr>
            </w:pPr>
          </w:p>
        </w:tc>
        <w:tc>
          <w:tcPr>
            <w:tcW w:w="5387" w:type="dxa"/>
          </w:tcPr>
          <w:p w14:paraId="033210BA" w14:textId="793339E3" w:rsidR="0025440E" w:rsidRPr="008B688B" w:rsidRDefault="006E56B4">
            <w:pPr>
              <w:rPr>
                <w:rFonts w:ascii="Calibri" w:hAnsi="Calibri" w:cs="Calibri"/>
                <w:color w:val="000000" w:themeColor="text1"/>
                <w:lang w:val="de-DE"/>
              </w:rPr>
            </w:pPr>
            <w:r>
              <w:rPr>
                <w:rFonts w:ascii="Calibri" w:eastAsia="Calibri" w:hAnsi="Calibri" w:cs="Calibri"/>
                <w:color w:val="000000" w:themeColor="text1"/>
                <w:lang w:val="de-DE"/>
              </w:rPr>
              <w:t>Sicherstellung</w:t>
            </w:r>
            <w:r w:rsidR="008B688B" w:rsidRPr="008B688B">
              <w:rPr>
                <w:rFonts w:ascii="Calibri" w:eastAsia="Calibri" w:hAnsi="Calibri" w:cs="Calibri"/>
                <w:color w:val="000000" w:themeColor="text1"/>
                <w:lang w:val="de-DE"/>
              </w:rPr>
              <w:t xml:space="preserve">, dass </w:t>
            </w:r>
            <w:r w:rsidR="008B688B" w:rsidRPr="008B688B">
              <w:rPr>
                <w:rFonts w:ascii="Calibri" w:eastAsia="Calibri" w:hAnsi="Calibri" w:cs="Calibri"/>
                <w:b/>
                <w:color w:val="000000" w:themeColor="text1"/>
                <w:lang w:val="de-DE"/>
              </w:rPr>
              <w:t>alle Opfer sexueller Ausbeutung im Kindesalter das Recht haben</w:t>
            </w:r>
            <w:r w:rsidR="008B688B" w:rsidRPr="008B688B">
              <w:rPr>
                <w:rFonts w:ascii="Calibri" w:eastAsia="Calibri" w:hAnsi="Calibri" w:cs="Calibri"/>
                <w:color w:val="000000" w:themeColor="text1"/>
                <w:lang w:val="de-DE"/>
              </w:rPr>
              <w:t>, vor nationalen Gerichten</w:t>
            </w:r>
            <w:r w:rsidR="008B688B" w:rsidRPr="008B688B">
              <w:rPr>
                <w:rFonts w:ascii="Calibri" w:eastAsia="Calibri" w:hAnsi="Calibri" w:cs="Calibri"/>
                <w:b/>
                <w:color w:val="000000" w:themeColor="text1"/>
                <w:lang w:val="de-DE"/>
              </w:rPr>
              <w:t xml:space="preserve"> eine Entschädigung </w:t>
            </w:r>
            <w:r w:rsidR="008B688B" w:rsidRPr="008B688B">
              <w:rPr>
                <w:rFonts w:ascii="Calibri" w:eastAsia="Calibri" w:hAnsi="Calibri" w:cs="Calibri"/>
                <w:color w:val="000000" w:themeColor="text1"/>
                <w:lang w:val="de-DE"/>
              </w:rPr>
              <w:t>von den verurteilten Tätern</w:t>
            </w:r>
            <w:r>
              <w:rPr>
                <w:rFonts w:ascii="Calibri" w:eastAsia="Calibri" w:hAnsi="Calibri" w:cs="Calibri"/>
                <w:color w:val="000000" w:themeColor="text1"/>
                <w:lang w:val="de-DE"/>
              </w:rPr>
              <w:t xml:space="preserve"> </w:t>
            </w:r>
            <w:r w:rsidR="008B688B" w:rsidRPr="008B688B">
              <w:rPr>
                <w:rFonts w:ascii="Calibri" w:eastAsia="Calibri" w:hAnsi="Calibri" w:cs="Calibri"/>
                <w:color w:val="000000" w:themeColor="text1"/>
                <w:lang w:val="de-DE"/>
              </w:rPr>
              <w:t xml:space="preserve">und/oder aus staatlich verwalteten Fonds </w:t>
            </w:r>
            <w:r w:rsidR="008B688B" w:rsidRPr="008B688B">
              <w:rPr>
                <w:rFonts w:ascii="Calibri" w:eastAsia="Calibri" w:hAnsi="Calibri" w:cs="Calibri"/>
                <w:b/>
                <w:color w:val="000000" w:themeColor="text1"/>
                <w:lang w:val="de-DE"/>
              </w:rPr>
              <w:t>zu verlangen</w:t>
            </w:r>
            <w:r w:rsidR="008B688B" w:rsidRPr="008B688B">
              <w:rPr>
                <w:rFonts w:ascii="Calibri" w:eastAsia="Calibri" w:hAnsi="Calibri" w:cs="Calibri"/>
                <w:color w:val="000000" w:themeColor="text1"/>
                <w:lang w:val="de-DE"/>
              </w:rPr>
              <w:t xml:space="preserve">.  </w:t>
            </w:r>
          </w:p>
        </w:tc>
        <w:tc>
          <w:tcPr>
            <w:tcW w:w="1701" w:type="dxa"/>
          </w:tcPr>
          <w:p w14:paraId="32B86E23" w14:textId="4555ABD4" w:rsidR="0025440E" w:rsidRPr="00A57D8B" w:rsidRDefault="00C55A34" w:rsidP="0025440E">
            <w:pPr>
              <w:rPr>
                <w:rFonts w:ascii="Calibri" w:hAnsi="Calibri" w:cs="Calibri"/>
                <w:bCs/>
                <w:color w:val="000000" w:themeColor="text1"/>
                <w:lang w:val="en-GB"/>
              </w:rPr>
            </w:pPr>
            <w:proofErr w:type="spellStart"/>
            <w:r>
              <w:rPr>
                <w:rFonts w:ascii="Calibri" w:hAnsi="Calibri" w:cs="Calibri"/>
                <w:bCs/>
                <w:color w:val="000000" w:themeColor="text1"/>
                <w:lang w:val="en-GB"/>
              </w:rPr>
              <w:t>Ja</w:t>
            </w:r>
            <w:proofErr w:type="spellEnd"/>
          </w:p>
        </w:tc>
        <w:tc>
          <w:tcPr>
            <w:tcW w:w="5523" w:type="dxa"/>
          </w:tcPr>
          <w:p w14:paraId="26F86CC0" w14:textId="73BCEA79" w:rsidR="0025440E" w:rsidRPr="00C77207" w:rsidRDefault="0025440E" w:rsidP="008543B6">
            <w:pPr>
              <w:spacing w:line="276" w:lineRule="auto"/>
              <w:rPr>
                <w:rFonts w:cstheme="minorHAnsi"/>
                <w:color w:val="00B050"/>
                <w:lang w:val="de-DE"/>
              </w:rPr>
            </w:pPr>
            <w:r w:rsidRPr="00C77207">
              <w:rPr>
                <w:rFonts w:cstheme="minorHAnsi"/>
                <w:lang w:val="de-DE"/>
              </w:rPr>
              <w:t>Jedes Opfer eines vom Täter zu verschuldeten sexuellen Übergriffes kann auf zivilrechtlichem Wege nach § 823 Abs. 1 und 2 BGB Schadensersatz und Schmerzensgeld (§ 253 BGB) von diesem Täter verlangen. Opfern sexueller Ausbeutung, also Opfern von Straftaten wie Zwangsprostitution (§232a StGB) und Kinderhandel (§236 StGB), steht dies ebenfalls nach § 823 Abs. 2 BGB zu.</w:t>
            </w:r>
            <w:r w:rsidR="004827B9">
              <w:rPr>
                <w:rFonts w:cstheme="minorHAnsi"/>
                <w:lang w:val="de-DE"/>
              </w:rPr>
              <w:t xml:space="preserve"> Nach § 825 BGB ist derjenige, der einen anderen durch Hinterlist, Drohung oder Missbrauch eines Abhängigkeitsverhältnisses zur Vornahme oder Duldung sexueller Handlungen bestimmt, schadensersatzpflichtig.</w:t>
            </w:r>
            <w:r w:rsidRPr="00C77207">
              <w:rPr>
                <w:rFonts w:cstheme="minorHAnsi"/>
                <w:lang w:val="de-DE"/>
              </w:rPr>
              <w:t xml:space="preserve"> </w:t>
            </w:r>
            <w:r w:rsidR="00B14331" w:rsidRPr="00C77207">
              <w:rPr>
                <w:rFonts w:cstheme="minorHAnsi"/>
                <w:lang w:val="de-DE"/>
              </w:rPr>
              <w:t xml:space="preserve">Daneben kommen je nach Fall noch weitere Haftungsvorschriften in Betracht. </w:t>
            </w:r>
            <w:r w:rsidRPr="00C77207">
              <w:rPr>
                <w:rFonts w:cstheme="minorHAnsi"/>
                <w:lang w:val="de-DE"/>
              </w:rPr>
              <w:t xml:space="preserve">Minderjährige müssen sich vor Gericht gemäß § 51 Abs. 1 ZPO, </w:t>
            </w:r>
            <w:r w:rsidR="00FF4CC7" w:rsidRPr="00C77207">
              <w:rPr>
                <w:rFonts w:cstheme="minorHAnsi"/>
                <w:lang w:val="de-DE"/>
              </w:rPr>
              <w:t xml:space="preserve">§ </w:t>
            </w:r>
            <w:r w:rsidRPr="00C77207">
              <w:rPr>
                <w:rFonts w:cstheme="minorHAnsi"/>
                <w:lang w:val="de-DE"/>
              </w:rPr>
              <w:t xml:space="preserve">1629 Abs. 1 </w:t>
            </w:r>
            <w:r w:rsidR="00FF4CC7" w:rsidRPr="00C77207">
              <w:rPr>
                <w:rFonts w:cstheme="minorHAnsi"/>
                <w:lang w:val="de-DE"/>
              </w:rPr>
              <w:t xml:space="preserve">BGB </w:t>
            </w:r>
            <w:r w:rsidRPr="00C77207">
              <w:rPr>
                <w:rFonts w:cstheme="minorHAnsi"/>
                <w:lang w:val="de-DE"/>
              </w:rPr>
              <w:t xml:space="preserve">durch ihre Eltern vertreten lassen. Nicht unter elterlicher Sorge stehende Minderjährige werden durch den Vormund bzw. bei dessen Verhinderung durch einen Pfleger vertreten (§§ 1773, 1793, 1909 Abs. 1 und 3 BGB). Schadensersatzansprüche können gemäß §§ 403 ff. StPO auch ergänzend im betreffenden Strafverfahren geltend gemacht werden, sodass im Ergebnis nur ein Gerichtsprozess notwendig ist (sog. Adhäsionsverfahren). Für Strafverfahren mit Auslandsbezug wird auf Punkt 1 der Legal Checklist verwiesen. </w:t>
            </w:r>
          </w:p>
          <w:p w14:paraId="686601E4" w14:textId="7067BE78" w:rsidR="0025440E" w:rsidRPr="008E225B" w:rsidRDefault="0025440E" w:rsidP="008E225B">
            <w:pPr>
              <w:spacing w:line="276" w:lineRule="auto"/>
              <w:rPr>
                <w:rFonts w:cstheme="minorHAnsi"/>
                <w:lang w:val="de-DE"/>
              </w:rPr>
            </w:pPr>
            <w:r w:rsidRPr="00C77207">
              <w:rPr>
                <w:rFonts w:cstheme="minorHAnsi"/>
                <w:lang w:val="de-DE"/>
              </w:rPr>
              <w:lastRenderedPageBreak/>
              <w:t>Für zivilrechtliche Klagen wegen im Ausland begangener Taten gilt: Nach §§ 12, 13 ZPO kann eine Klage vor dem Gericht erhoben werden, wo der Beklagte (also der Täter) seinen Wohnsitz hat. Damit ist zugleich die internationale Zuständigkeit dieses deutschen Gerichts für in Deutschland wohnhafte Täter begründet.</w:t>
            </w:r>
            <w:r w:rsidR="007324FB" w:rsidRPr="00C77207">
              <w:rPr>
                <w:rStyle w:val="FootnoteReference"/>
                <w:rFonts w:cstheme="minorHAnsi"/>
                <w:lang w:val="de-DE"/>
              </w:rPr>
              <w:footnoteReference w:id="56"/>
            </w:r>
            <w:r w:rsidRPr="00C77207">
              <w:rPr>
                <w:rFonts w:cstheme="minorHAnsi"/>
                <w:lang w:val="de-DE"/>
              </w:rPr>
              <w:t xml:space="preserve"> Unbeachtlich ist in diesem Zusammenhang, ob der Täter deutscher Staatsangehöriger ist. Im Verhältnis von Mitgliedstaaten der Europäischen Union richtet sich die internationale Zuständigkeit dagegen nach der Brüssel Ia-Verordnung</w:t>
            </w:r>
            <w:r w:rsidR="007324FB" w:rsidRPr="00C77207">
              <w:rPr>
                <w:rStyle w:val="FootnoteReference"/>
                <w:rFonts w:cstheme="minorHAnsi"/>
                <w:lang w:val="de-DE"/>
              </w:rPr>
              <w:footnoteReference w:id="57"/>
            </w:r>
            <w:r w:rsidRPr="00C77207">
              <w:rPr>
                <w:rFonts w:cstheme="minorHAnsi"/>
                <w:lang w:val="de-DE"/>
              </w:rPr>
              <w:t xml:space="preserve">, wonach aber ebenfalls die Möglichkeit besteht, den Täter im Land seines Wohnsitzes zu verklagen. Für bestimmte Staaten bestehen zudem gesonderte Abkommen (z.B. Island, Norwegen und Schweiz). Davon zu unterscheiden ist die Frage, welches Recht das deutsche Gericht anzuwenden hat. Nach Art. 4 der Rom-II-VO ist in der Regel das Recht desjenigen Staates anzuwenden, </w:t>
            </w:r>
            <w:r w:rsidR="007324FB" w:rsidRPr="00C77207">
              <w:rPr>
                <w:rFonts w:cstheme="minorHAnsi"/>
                <w:lang w:val="de-DE"/>
              </w:rPr>
              <w:t>in dem</w:t>
            </w:r>
            <w:r w:rsidRPr="00C77207">
              <w:rPr>
                <w:rFonts w:cstheme="minorHAnsi"/>
                <w:lang w:val="de-DE"/>
              </w:rPr>
              <w:t xml:space="preserve"> die unerlaubte Handlung begangen wurde. Bei Auslandstaten ist also ausländisches Recht anzuwenden. Etwas anderes gilt nur, wenn Täter und Opfer ihren gewöhnlichen Aufenthalt in </w:t>
            </w:r>
            <w:r w:rsidR="004827B9" w:rsidRPr="00C77207">
              <w:rPr>
                <w:rFonts w:cstheme="minorHAnsi"/>
                <w:lang w:val="de-DE"/>
              </w:rPr>
              <w:t>demselben</w:t>
            </w:r>
            <w:r w:rsidRPr="00C77207">
              <w:rPr>
                <w:rFonts w:cstheme="minorHAnsi"/>
                <w:lang w:val="de-DE"/>
              </w:rPr>
              <w:t xml:space="preserve"> Staat haben, also beispielsweise beide in Deutschland wohnen, die Tat aber im Urlaub im Ausland begangen wurde. Eine weitere Ausnahme ist, dass </w:t>
            </w:r>
            <w:r w:rsidRPr="00C77207">
              <w:rPr>
                <w:rFonts w:cstheme="minorHAnsi"/>
                <w:color w:val="333333"/>
                <w:shd w:val="clear" w:color="auto" w:fill="FFFFFF"/>
                <w:lang w:val="de-DE"/>
              </w:rPr>
              <w:t xml:space="preserve">sich aus der Gesamtheit der Umstände ergibt, dass die unerlaubte Handlung eine offensichtlich engere Verbindung zu einem anderen Staat als dem des Tatortes aufweist, etwa wenn Opfer und Täter </w:t>
            </w:r>
            <w:r w:rsidRPr="00C77207">
              <w:rPr>
                <w:rFonts w:cstheme="minorHAnsi"/>
                <w:color w:val="333333"/>
                <w:shd w:val="clear" w:color="auto" w:fill="FFFFFF"/>
                <w:lang w:val="de-DE"/>
              </w:rPr>
              <w:lastRenderedPageBreak/>
              <w:t>in Deutschland einen Vertrag geschlossen hatten, der mit der Tat in Verbindung steht.</w:t>
            </w:r>
          </w:p>
        </w:tc>
      </w:tr>
    </w:tbl>
    <w:p w14:paraId="7F9D6123" w14:textId="77777777" w:rsidR="001C2BA0" w:rsidRPr="00B1701C" w:rsidRDefault="001C2BA0" w:rsidP="001C2BA0">
      <w:pPr>
        <w:pBdr>
          <w:top w:val="nil"/>
          <w:left w:val="nil"/>
          <w:bottom w:val="nil"/>
          <w:right w:val="nil"/>
          <w:between w:val="nil"/>
        </w:pBdr>
        <w:spacing w:after="0" w:line="276" w:lineRule="auto"/>
        <w:rPr>
          <w:rFonts w:ascii="Calibri" w:eastAsia="Arial" w:hAnsi="Calibri" w:cs="Calibri"/>
          <w:b/>
          <w:color w:val="136B41"/>
          <w:u w:val="single"/>
          <w:lang w:val="de-DE" w:bidi="th-TH"/>
        </w:rPr>
      </w:pPr>
    </w:p>
    <w:p w14:paraId="53A47E8A" w14:textId="34631135" w:rsidR="001C2BA0" w:rsidRPr="00C51739" w:rsidRDefault="007428D0" w:rsidP="001C2BA0">
      <w:pPr>
        <w:pBdr>
          <w:top w:val="nil"/>
          <w:left w:val="nil"/>
          <w:bottom w:val="nil"/>
          <w:right w:val="nil"/>
          <w:between w:val="nil"/>
        </w:pBdr>
        <w:spacing w:after="0" w:line="276" w:lineRule="auto"/>
        <w:rPr>
          <w:rFonts w:ascii="Calibri" w:eastAsia="Arial" w:hAnsi="Calibri" w:cs="Calibri"/>
          <w:b/>
          <w:color w:val="136B41"/>
          <w:u w:val="single"/>
          <w:lang w:val="de-DE" w:bidi="th-TH"/>
        </w:rPr>
      </w:pPr>
      <w:r>
        <w:rPr>
          <w:rFonts w:ascii="Calibri" w:eastAsia="Arial" w:hAnsi="Calibri" w:cs="Calibri"/>
          <w:b/>
          <w:color w:val="136B41"/>
          <w:u w:val="single"/>
          <w:lang w:val="de-DE" w:bidi="th-TH"/>
        </w:rPr>
        <w:t>Rechtsquellen:</w:t>
      </w:r>
    </w:p>
    <w:p w14:paraId="7658CF52" w14:textId="77777777" w:rsidR="00C77207" w:rsidRPr="00C51739" w:rsidRDefault="00C77207" w:rsidP="008B3E33">
      <w:pPr>
        <w:rPr>
          <w:rFonts w:ascii="Calibri" w:hAnsi="Calibri" w:cs="Calibri"/>
          <w:color w:val="000000" w:themeColor="text1"/>
          <w:sz w:val="24"/>
          <w:szCs w:val="24"/>
          <w:lang w:val="de-DE"/>
        </w:rPr>
      </w:pPr>
      <w:r w:rsidRPr="00C51739">
        <w:rPr>
          <w:rFonts w:ascii="Calibri" w:hAnsi="Calibri" w:cs="Calibri"/>
          <w:color w:val="000000" w:themeColor="text1"/>
          <w:sz w:val="24"/>
          <w:szCs w:val="24"/>
          <w:lang w:val="de-DE"/>
        </w:rPr>
        <w:t xml:space="preserve">AufenthG: </w:t>
      </w:r>
      <w:hyperlink r:id="rId13" w:history="1">
        <w:r w:rsidRPr="00C51739">
          <w:rPr>
            <w:rStyle w:val="Hyperlink"/>
            <w:rFonts w:ascii="Calibri" w:hAnsi="Calibri" w:cs="Calibri"/>
            <w:sz w:val="24"/>
            <w:szCs w:val="24"/>
            <w:lang w:val="de-DE"/>
          </w:rPr>
          <w:t>https://www.gesetze-im-internet.de/aufenthg_2004/</w:t>
        </w:r>
      </w:hyperlink>
      <w:r w:rsidRPr="00C51739">
        <w:rPr>
          <w:rFonts w:ascii="Calibri" w:hAnsi="Calibri" w:cs="Calibri"/>
          <w:color w:val="000000" w:themeColor="text1"/>
          <w:sz w:val="24"/>
          <w:szCs w:val="24"/>
          <w:lang w:val="de-DE"/>
        </w:rPr>
        <w:t xml:space="preserve"> </w:t>
      </w:r>
    </w:p>
    <w:p w14:paraId="48166DE2" w14:textId="77777777" w:rsidR="00C77207" w:rsidRDefault="00C77207" w:rsidP="008B3E33">
      <w:pPr>
        <w:rPr>
          <w:rFonts w:ascii="Calibri" w:hAnsi="Calibri" w:cs="Calibri"/>
          <w:color w:val="000000" w:themeColor="text1"/>
          <w:sz w:val="24"/>
          <w:szCs w:val="24"/>
          <w:lang w:val="de-DE"/>
        </w:rPr>
      </w:pPr>
      <w:r>
        <w:rPr>
          <w:rFonts w:ascii="Calibri" w:hAnsi="Calibri" w:cs="Calibri"/>
          <w:color w:val="000000" w:themeColor="text1"/>
          <w:sz w:val="24"/>
          <w:szCs w:val="24"/>
          <w:lang w:val="de-DE"/>
        </w:rPr>
        <w:t xml:space="preserve">BFDG: </w:t>
      </w:r>
      <w:hyperlink r:id="rId14" w:history="1">
        <w:r w:rsidRPr="00C71282">
          <w:rPr>
            <w:rStyle w:val="Hyperlink"/>
            <w:rFonts w:ascii="Calibri" w:hAnsi="Calibri" w:cs="Calibri"/>
            <w:sz w:val="24"/>
            <w:szCs w:val="24"/>
            <w:lang w:val="de-DE"/>
          </w:rPr>
          <w:t>https://www.gesetze-im-internet.de/bfdg/</w:t>
        </w:r>
      </w:hyperlink>
    </w:p>
    <w:p w14:paraId="1F825C08" w14:textId="77777777" w:rsidR="00C77207" w:rsidRPr="00C77207" w:rsidRDefault="00C77207" w:rsidP="008B3E33">
      <w:pPr>
        <w:rPr>
          <w:sz w:val="24"/>
          <w:szCs w:val="24"/>
          <w:lang w:val="de-DE"/>
        </w:rPr>
      </w:pPr>
      <w:r w:rsidRPr="00C77207">
        <w:rPr>
          <w:sz w:val="24"/>
          <w:szCs w:val="24"/>
          <w:lang w:val="de-DE"/>
        </w:rPr>
        <w:t xml:space="preserve">BGB: </w:t>
      </w:r>
      <w:hyperlink r:id="rId15" w:history="1">
        <w:r w:rsidRPr="00C77207">
          <w:rPr>
            <w:rStyle w:val="Hyperlink"/>
            <w:sz w:val="24"/>
            <w:szCs w:val="24"/>
            <w:lang w:val="de-DE"/>
          </w:rPr>
          <w:t>https://www.gesetze-im-internet.de/bgb/</w:t>
        </w:r>
      </w:hyperlink>
      <w:r w:rsidRPr="00C77207">
        <w:rPr>
          <w:sz w:val="24"/>
          <w:szCs w:val="24"/>
          <w:lang w:val="de-DE"/>
        </w:rPr>
        <w:t xml:space="preserve">   </w:t>
      </w:r>
    </w:p>
    <w:p w14:paraId="67116C15" w14:textId="77777777" w:rsidR="00C77207" w:rsidRPr="008B3E33" w:rsidRDefault="00C77207" w:rsidP="008B3E33">
      <w:pPr>
        <w:rPr>
          <w:sz w:val="24"/>
          <w:szCs w:val="24"/>
          <w:lang w:val="de-DE"/>
        </w:rPr>
      </w:pPr>
      <w:r w:rsidRPr="008B3E33">
        <w:rPr>
          <w:sz w:val="24"/>
          <w:szCs w:val="24"/>
          <w:lang w:val="de-DE"/>
        </w:rPr>
        <w:t xml:space="preserve">Brüssel Ia-VO: </w:t>
      </w:r>
      <w:hyperlink r:id="rId16" w:history="1">
        <w:r w:rsidRPr="008B3E33">
          <w:rPr>
            <w:rStyle w:val="Hyperlink"/>
            <w:sz w:val="24"/>
            <w:szCs w:val="24"/>
            <w:lang w:val="de-DE"/>
          </w:rPr>
          <w:t>https://eur-lex.europa.eu/legal-content/de/TXT/?uri=CELEX:32012R1215</w:t>
        </w:r>
      </w:hyperlink>
      <w:r w:rsidRPr="008B3E33">
        <w:rPr>
          <w:sz w:val="24"/>
          <w:szCs w:val="24"/>
          <w:lang w:val="de-DE"/>
        </w:rPr>
        <w:t xml:space="preserve"> </w:t>
      </w:r>
    </w:p>
    <w:p w14:paraId="226C3EEB" w14:textId="77777777" w:rsidR="00C77207" w:rsidRDefault="00C77207" w:rsidP="008B3E33">
      <w:pPr>
        <w:rPr>
          <w:rFonts w:ascii="Calibri" w:hAnsi="Calibri" w:cs="Calibri"/>
          <w:color w:val="000000" w:themeColor="text1"/>
          <w:sz w:val="24"/>
          <w:szCs w:val="24"/>
          <w:lang w:val="de-DE"/>
        </w:rPr>
      </w:pPr>
      <w:r>
        <w:rPr>
          <w:rFonts w:ascii="Calibri" w:hAnsi="Calibri" w:cs="Calibri"/>
          <w:color w:val="000000" w:themeColor="text1"/>
          <w:sz w:val="24"/>
          <w:szCs w:val="24"/>
          <w:lang w:val="de-DE"/>
        </w:rPr>
        <w:t xml:space="preserve">BZRG: </w:t>
      </w:r>
      <w:hyperlink r:id="rId17" w:history="1">
        <w:r w:rsidRPr="00C71282">
          <w:rPr>
            <w:rStyle w:val="Hyperlink"/>
            <w:rFonts w:ascii="Calibri" w:hAnsi="Calibri" w:cs="Calibri"/>
            <w:sz w:val="24"/>
            <w:szCs w:val="24"/>
            <w:lang w:val="de-DE"/>
          </w:rPr>
          <w:t>https://www.gesetze-im-internet.de/bzrg/</w:t>
        </w:r>
      </w:hyperlink>
    </w:p>
    <w:p w14:paraId="2DB67651" w14:textId="77777777" w:rsidR="00C77207" w:rsidRDefault="00C77207" w:rsidP="008B3E33">
      <w:pPr>
        <w:rPr>
          <w:rFonts w:ascii="Calibri" w:hAnsi="Calibri" w:cs="Calibri"/>
          <w:color w:val="000000" w:themeColor="text1"/>
          <w:sz w:val="24"/>
          <w:szCs w:val="24"/>
          <w:lang w:val="de-DE"/>
        </w:rPr>
      </w:pPr>
      <w:r>
        <w:rPr>
          <w:rFonts w:ascii="Calibri" w:hAnsi="Calibri" w:cs="Calibri"/>
          <w:color w:val="000000" w:themeColor="text1"/>
          <w:sz w:val="24"/>
          <w:szCs w:val="24"/>
          <w:lang w:val="de-DE"/>
        </w:rPr>
        <w:t xml:space="preserve">Europäisches Auslieferungsübereinkommen: </w:t>
      </w:r>
      <w:hyperlink r:id="rId18" w:history="1">
        <w:r w:rsidRPr="00C71282">
          <w:rPr>
            <w:rStyle w:val="Hyperlink"/>
            <w:rFonts w:ascii="Calibri" w:hAnsi="Calibri" w:cs="Calibri"/>
            <w:sz w:val="24"/>
            <w:szCs w:val="24"/>
            <w:lang w:val="de-DE"/>
          </w:rPr>
          <w:t>https://rm.coe.int/16800645c5</w:t>
        </w:r>
      </w:hyperlink>
      <w:r>
        <w:rPr>
          <w:rFonts w:ascii="Calibri" w:hAnsi="Calibri" w:cs="Calibri"/>
          <w:color w:val="000000" w:themeColor="text1"/>
          <w:sz w:val="24"/>
          <w:szCs w:val="24"/>
          <w:lang w:val="de-DE"/>
        </w:rPr>
        <w:t xml:space="preserve"> </w:t>
      </w:r>
    </w:p>
    <w:p w14:paraId="4BE5DD10" w14:textId="77777777" w:rsidR="00C77207" w:rsidRDefault="00C77207" w:rsidP="008B3E33">
      <w:pPr>
        <w:rPr>
          <w:rFonts w:ascii="Calibri" w:hAnsi="Calibri" w:cs="Calibri"/>
          <w:color w:val="000000" w:themeColor="text1"/>
          <w:sz w:val="24"/>
          <w:szCs w:val="24"/>
          <w:lang w:val="de-DE"/>
        </w:rPr>
      </w:pPr>
      <w:r>
        <w:rPr>
          <w:rFonts w:ascii="Calibri" w:hAnsi="Calibri" w:cs="Calibri"/>
          <w:color w:val="000000" w:themeColor="text1"/>
          <w:sz w:val="24"/>
          <w:szCs w:val="24"/>
          <w:lang w:val="de-DE"/>
        </w:rPr>
        <w:t xml:space="preserve">FreizügG: </w:t>
      </w:r>
      <w:hyperlink r:id="rId19" w:history="1">
        <w:r w:rsidRPr="00C71282">
          <w:rPr>
            <w:rStyle w:val="Hyperlink"/>
            <w:rFonts w:ascii="Calibri" w:hAnsi="Calibri" w:cs="Calibri"/>
            <w:sz w:val="24"/>
            <w:szCs w:val="24"/>
            <w:lang w:val="de-DE"/>
          </w:rPr>
          <w:t>https://www.gesetze-im-internet.de/freiz_gg_eu_2004/</w:t>
        </w:r>
      </w:hyperlink>
    </w:p>
    <w:p w14:paraId="4C5E8E45" w14:textId="77777777" w:rsidR="00C77207" w:rsidRDefault="00C77207" w:rsidP="008B3E33">
      <w:pPr>
        <w:rPr>
          <w:rFonts w:ascii="Calibri" w:hAnsi="Calibri" w:cs="Calibri"/>
          <w:color w:val="000000" w:themeColor="text1"/>
          <w:sz w:val="24"/>
          <w:szCs w:val="24"/>
          <w:lang w:val="de-DE"/>
        </w:rPr>
      </w:pPr>
      <w:r w:rsidRPr="006556F4">
        <w:rPr>
          <w:rFonts w:ascii="Calibri" w:hAnsi="Calibri" w:cs="Calibri"/>
          <w:color w:val="000000" w:themeColor="text1"/>
          <w:sz w:val="24"/>
          <w:szCs w:val="24"/>
          <w:lang w:val="de-DE"/>
        </w:rPr>
        <w:t xml:space="preserve">GG: </w:t>
      </w:r>
      <w:hyperlink r:id="rId20" w:history="1">
        <w:r w:rsidRPr="006556F4">
          <w:rPr>
            <w:rStyle w:val="Hyperlink"/>
            <w:rFonts w:ascii="Calibri" w:hAnsi="Calibri" w:cs="Calibri"/>
            <w:sz w:val="24"/>
            <w:szCs w:val="24"/>
            <w:lang w:val="de-DE"/>
          </w:rPr>
          <w:t>https://www.gesetze-im-internet.de/gg/</w:t>
        </w:r>
      </w:hyperlink>
      <w:r w:rsidRPr="006556F4">
        <w:rPr>
          <w:rFonts w:ascii="Calibri" w:hAnsi="Calibri" w:cs="Calibri"/>
          <w:color w:val="000000" w:themeColor="text1"/>
          <w:sz w:val="24"/>
          <w:szCs w:val="24"/>
          <w:lang w:val="de-DE"/>
        </w:rPr>
        <w:t xml:space="preserve"> </w:t>
      </w:r>
    </w:p>
    <w:p w14:paraId="6284D6A3" w14:textId="77777777" w:rsidR="00C77207" w:rsidRPr="00C77207" w:rsidRDefault="00C77207" w:rsidP="008B3E33">
      <w:pPr>
        <w:rPr>
          <w:sz w:val="24"/>
          <w:szCs w:val="24"/>
          <w:lang w:val="de-DE"/>
        </w:rPr>
      </w:pPr>
      <w:r w:rsidRPr="00C77207">
        <w:rPr>
          <w:sz w:val="24"/>
          <w:szCs w:val="24"/>
          <w:lang w:val="de-DE"/>
        </w:rPr>
        <w:t xml:space="preserve">GVG: </w:t>
      </w:r>
      <w:hyperlink r:id="rId21" w:history="1">
        <w:r w:rsidRPr="00C77207">
          <w:rPr>
            <w:rStyle w:val="Hyperlink"/>
            <w:sz w:val="24"/>
            <w:szCs w:val="24"/>
            <w:lang w:val="de-DE"/>
          </w:rPr>
          <w:t>https://www.gesetze-im-internet.de/gvg/</w:t>
        </w:r>
      </w:hyperlink>
    </w:p>
    <w:p w14:paraId="1D2B28CC" w14:textId="77777777" w:rsidR="00C77207" w:rsidRPr="008B3E33" w:rsidRDefault="00C77207" w:rsidP="008B3E33">
      <w:pPr>
        <w:rPr>
          <w:sz w:val="24"/>
          <w:szCs w:val="24"/>
          <w:lang w:val="de-DE"/>
        </w:rPr>
      </w:pPr>
      <w:r w:rsidRPr="008B3E33">
        <w:rPr>
          <w:sz w:val="24"/>
          <w:szCs w:val="24"/>
          <w:lang w:val="de-DE"/>
        </w:rPr>
        <w:t xml:space="preserve">IRG: </w:t>
      </w:r>
      <w:hyperlink r:id="rId22" w:history="1">
        <w:r w:rsidRPr="008B3E33">
          <w:rPr>
            <w:rStyle w:val="Hyperlink"/>
            <w:sz w:val="24"/>
            <w:szCs w:val="24"/>
            <w:lang w:val="de-DE"/>
          </w:rPr>
          <w:t>https://www.gesetze-im-internet.de/irg/</w:t>
        </w:r>
      </w:hyperlink>
      <w:r w:rsidRPr="008B3E33">
        <w:rPr>
          <w:sz w:val="24"/>
          <w:szCs w:val="24"/>
          <w:lang w:val="de-DE"/>
        </w:rPr>
        <w:t xml:space="preserve"> </w:t>
      </w:r>
    </w:p>
    <w:p w14:paraId="1BC8DE12" w14:textId="77777777" w:rsidR="00C77207" w:rsidRPr="00C77207" w:rsidRDefault="00C77207" w:rsidP="008B3E33">
      <w:pPr>
        <w:rPr>
          <w:rFonts w:ascii="Calibri" w:hAnsi="Calibri" w:cs="Calibri"/>
          <w:color w:val="000000" w:themeColor="text1"/>
          <w:sz w:val="24"/>
          <w:szCs w:val="24"/>
          <w:lang w:val="de-DE"/>
        </w:rPr>
      </w:pPr>
      <w:r w:rsidRPr="00C77207">
        <w:rPr>
          <w:rFonts w:ascii="Calibri" w:hAnsi="Calibri" w:cs="Calibri"/>
          <w:color w:val="000000" w:themeColor="text1"/>
          <w:sz w:val="24"/>
          <w:szCs w:val="24"/>
          <w:lang w:val="de-DE"/>
        </w:rPr>
        <w:t xml:space="preserve">JFDG: </w:t>
      </w:r>
      <w:hyperlink r:id="rId23" w:history="1">
        <w:r w:rsidRPr="00C77207">
          <w:rPr>
            <w:rStyle w:val="Hyperlink"/>
            <w:rFonts w:ascii="Calibri" w:hAnsi="Calibri" w:cs="Calibri"/>
            <w:sz w:val="24"/>
            <w:szCs w:val="24"/>
            <w:lang w:val="de-DE"/>
          </w:rPr>
          <w:t>https://www.gesetze-im-internet.de/jfdg/</w:t>
        </w:r>
      </w:hyperlink>
      <w:r w:rsidRPr="00C77207">
        <w:rPr>
          <w:rFonts w:ascii="Calibri" w:hAnsi="Calibri" w:cs="Calibri"/>
          <w:color w:val="000000" w:themeColor="text1"/>
          <w:sz w:val="24"/>
          <w:szCs w:val="24"/>
          <w:lang w:val="de-DE"/>
        </w:rPr>
        <w:t xml:space="preserve"> </w:t>
      </w:r>
    </w:p>
    <w:p w14:paraId="03FC28B7" w14:textId="77777777" w:rsidR="00C77207" w:rsidRDefault="00C77207" w:rsidP="008B3E33">
      <w:pPr>
        <w:rPr>
          <w:rFonts w:ascii="Calibri" w:hAnsi="Calibri" w:cs="Calibri"/>
          <w:color w:val="000000" w:themeColor="text1"/>
          <w:sz w:val="24"/>
          <w:szCs w:val="24"/>
          <w:lang w:val="de-DE"/>
        </w:rPr>
      </w:pPr>
      <w:r>
        <w:rPr>
          <w:rFonts w:ascii="Calibri" w:hAnsi="Calibri" w:cs="Calibri"/>
          <w:color w:val="000000" w:themeColor="text1"/>
          <w:sz w:val="24"/>
          <w:szCs w:val="24"/>
          <w:lang w:val="de-DE"/>
        </w:rPr>
        <w:t xml:space="preserve">LkSG: </w:t>
      </w:r>
      <w:hyperlink r:id="rId24" w:history="1">
        <w:r w:rsidRPr="00C71282">
          <w:rPr>
            <w:rStyle w:val="Hyperlink"/>
            <w:rFonts w:ascii="Calibri" w:hAnsi="Calibri" w:cs="Calibri"/>
            <w:sz w:val="24"/>
            <w:szCs w:val="24"/>
            <w:lang w:val="de-DE"/>
          </w:rPr>
          <w:t>https://www.gesetze-im-internet.de/lksg/</w:t>
        </w:r>
      </w:hyperlink>
      <w:r>
        <w:rPr>
          <w:rFonts w:ascii="Calibri" w:hAnsi="Calibri" w:cs="Calibri"/>
          <w:color w:val="000000" w:themeColor="text1"/>
          <w:sz w:val="24"/>
          <w:szCs w:val="24"/>
          <w:lang w:val="de-DE"/>
        </w:rPr>
        <w:t xml:space="preserve"> </w:t>
      </w:r>
    </w:p>
    <w:p w14:paraId="7BB2B597" w14:textId="77777777" w:rsidR="00C77207" w:rsidRPr="00C77207" w:rsidRDefault="00C77207" w:rsidP="008B3E33">
      <w:pPr>
        <w:rPr>
          <w:sz w:val="24"/>
          <w:szCs w:val="24"/>
          <w:lang w:val="de-DE"/>
        </w:rPr>
      </w:pPr>
      <w:r w:rsidRPr="00C77207">
        <w:rPr>
          <w:sz w:val="24"/>
          <w:szCs w:val="24"/>
          <w:lang w:val="de-DE"/>
        </w:rPr>
        <w:t xml:space="preserve">OEG: </w:t>
      </w:r>
      <w:hyperlink r:id="rId25" w:history="1">
        <w:r w:rsidRPr="00C77207">
          <w:rPr>
            <w:rStyle w:val="Hyperlink"/>
            <w:sz w:val="24"/>
            <w:szCs w:val="24"/>
            <w:lang w:val="de-DE"/>
          </w:rPr>
          <w:t>https://www.gesetze-im-internet.de/oeg/</w:t>
        </w:r>
      </w:hyperlink>
      <w:r w:rsidRPr="00C77207">
        <w:rPr>
          <w:sz w:val="24"/>
          <w:szCs w:val="24"/>
          <w:lang w:val="de-DE"/>
        </w:rPr>
        <w:t xml:space="preserve"> </w:t>
      </w:r>
    </w:p>
    <w:p w14:paraId="11ED5C24" w14:textId="77777777" w:rsidR="00C77207" w:rsidRPr="00C77207" w:rsidRDefault="00C77207" w:rsidP="008B3E33">
      <w:pPr>
        <w:rPr>
          <w:rFonts w:ascii="Calibri" w:hAnsi="Calibri" w:cs="Calibri"/>
          <w:color w:val="000000" w:themeColor="text1"/>
          <w:sz w:val="24"/>
          <w:szCs w:val="24"/>
        </w:rPr>
      </w:pPr>
      <w:r w:rsidRPr="00C77207">
        <w:rPr>
          <w:rFonts w:ascii="Calibri" w:hAnsi="Calibri" w:cs="Calibri"/>
          <w:color w:val="000000" w:themeColor="text1"/>
          <w:sz w:val="24"/>
          <w:szCs w:val="24"/>
        </w:rPr>
        <w:t xml:space="preserve">OPSC: </w:t>
      </w:r>
      <w:hyperlink r:id="rId26" w:history="1">
        <w:r w:rsidRPr="00C77207">
          <w:rPr>
            <w:rStyle w:val="Hyperlink"/>
            <w:rFonts w:ascii="Calibri" w:hAnsi="Calibri" w:cs="Calibri"/>
            <w:sz w:val="24"/>
            <w:szCs w:val="24"/>
          </w:rPr>
          <w:t>https://www.kinderrechtskonvention.info/2-fakultativprotokoll-zur-kinderrechtskonvention-3216/</w:t>
        </w:r>
      </w:hyperlink>
      <w:r w:rsidRPr="00C77207">
        <w:rPr>
          <w:rFonts w:ascii="Calibri" w:hAnsi="Calibri" w:cs="Calibri"/>
          <w:color w:val="000000" w:themeColor="text1"/>
          <w:sz w:val="24"/>
          <w:szCs w:val="24"/>
        </w:rPr>
        <w:t xml:space="preserve"> </w:t>
      </w:r>
    </w:p>
    <w:p w14:paraId="59F49556" w14:textId="77777777" w:rsidR="00C77207" w:rsidRDefault="00C77207" w:rsidP="008B3E33">
      <w:pPr>
        <w:rPr>
          <w:rFonts w:ascii="Calibri" w:hAnsi="Calibri" w:cs="Calibri"/>
          <w:color w:val="000000" w:themeColor="text1"/>
          <w:sz w:val="24"/>
          <w:szCs w:val="24"/>
          <w:lang w:val="de-DE"/>
        </w:rPr>
      </w:pPr>
      <w:r>
        <w:rPr>
          <w:rFonts w:ascii="Calibri" w:hAnsi="Calibri" w:cs="Calibri"/>
          <w:color w:val="000000" w:themeColor="text1"/>
          <w:sz w:val="24"/>
          <w:szCs w:val="24"/>
          <w:lang w:val="de-DE"/>
        </w:rPr>
        <w:t xml:space="preserve">PaßG: </w:t>
      </w:r>
      <w:hyperlink r:id="rId27" w:history="1">
        <w:r w:rsidRPr="00C71282">
          <w:rPr>
            <w:rStyle w:val="Hyperlink"/>
            <w:rFonts w:ascii="Calibri" w:hAnsi="Calibri" w:cs="Calibri"/>
            <w:sz w:val="24"/>
            <w:szCs w:val="24"/>
            <w:lang w:val="de-DE"/>
          </w:rPr>
          <w:t>https://www.gesetze-im-internet.de/pa_g_1986/</w:t>
        </w:r>
      </w:hyperlink>
    </w:p>
    <w:p w14:paraId="1711F04B" w14:textId="77777777" w:rsidR="00C77207" w:rsidRDefault="00C77207" w:rsidP="008B3E33">
      <w:pPr>
        <w:rPr>
          <w:rFonts w:ascii="Calibri" w:hAnsi="Calibri" w:cs="Calibri"/>
          <w:color w:val="000000" w:themeColor="text1"/>
          <w:sz w:val="24"/>
          <w:szCs w:val="24"/>
          <w:lang w:val="de-DE"/>
        </w:rPr>
      </w:pPr>
      <w:r w:rsidRPr="008B3E33">
        <w:rPr>
          <w:rFonts w:ascii="Calibri" w:hAnsi="Calibri" w:cs="Calibri"/>
          <w:color w:val="000000" w:themeColor="text1"/>
          <w:sz w:val="24"/>
          <w:szCs w:val="24"/>
          <w:lang w:val="de-DE"/>
        </w:rPr>
        <w:t>Rahmenbeschlusses des Rates vom 13.6.2002 (2002/584/JI)</w:t>
      </w:r>
      <w:r>
        <w:rPr>
          <w:rFonts w:ascii="Calibri" w:hAnsi="Calibri" w:cs="Calibri"/>
          <w:color w:val="000000" w:themeColor="text1"/>
          <w:sz w:val="24"/>
          <w:szCs w:val="24"/>
          <w:lang w:val="de-DE"/>
        </w:rPr>
        <w:t xml:space="preserve">: </w:t>
      </w:r>
      <w:hyperlink r:id="rId28" w:history="1">
        <w:r w:rsidRPr="00C71282">
          <w:rPr>
            <w:rStyle w:val="Hyperlink"/>
            <w:rFonts w:ascii="Calibri" w:hAnsi="Calibri" w:cs="Calibri"/>
            <w:sz w:val="24"/>
            <w:szCs w:val="24"/>
            <w:lang w:val="de-DE"/>
          </w:rPr>
          <w:t>https://eur-lex.europa.eu/legal-content/DE/LSU/?uri=CELEX:32002F0584</w:t>
        </w:r>
      </w:hyperlink>
      <w:r>
        <w:rPr>
          <w:rFonts w:ascii="Calibri" w:hAnsi="Calibri" w:cs="Calibri"/>
          <w:color w:val="000000" w:themeColor="text1"/>
          <w:sz w:val="24"/>
          <w:szCs w:val="24"/>
          <w:lang w:val="de-DE"/>
        </w:rPr>
        <w:t xml:space="preserve"> </w:t>
      </w:r>
    </w:p>
    <w:p w14:paraId="263C1DE0" w14:textId="77777777" w:rsidR="00C77207" w:rsidRPr="00C77207" w:rsidRDefault="00C77207" w:rsidP="008B3E33">
      <w:pPr>
        <w:rPr>
          <w:color w:val="0563C1" w:themeColor="hyperlink"/>
          <w:sz w:val="24"/>
          <w:szCs w:val="24"/>
          <w:u w:val="single"/>
          <w:lang w:val="de-DE"/>
        </w:rPr>
      </w:pPr>
      <w:r w:rsidRPr="00C77207">
        <w:rPr>
          <w:sz w:val="24"/>
          <w:szCs w:val="24"/>
          <w:lang w:val="de-DE"/>
        </w:rPr>
        <w:lastRenderedPageBreak/>
        <w:t>RiStBV</w:t>
      </w:r>
      <w:r w:rsidRPr="00C77207">
        <w:rPr>
          <w:color w:val="0563C1" w:themeColor="hyperlink"/>
          <w:sz w:val="24"/>
          <w:szCs w:val="24"/>
          <w:u w:val="single"/>
          <w:lang w:val="de-DE"/>
        </w:rPr>
        <w:t xml:space="preserve">: </w:t>
      </w:r>
      <w:hyperlink r:id="rId29" w:history="1">
        <w:r w:rsidRPr="00C77207">
          <w:rPr>
            <w:rStyle w:val="Hyperlink"/>
            <w:sz w:val="24"/>
            <w:szCs w:val="24"/>
            <w:lang w:val="de-DE"/>
          </w:rPr>
          <w:t>https://www.verwaltungsvorschriften-im-internet.de/bsvwvbund_01011977_420821R5902002.htm</w:t>
        </w:r>
      </w:hyperlink>
      <w:r w:rsidRPr="00C77207">
        <w:rPr>
          <w:color w:val="0563C1" w:themeColor="hyperlink"/>
          <w:sz w:val="24"/>
          <w:szCs w:val="24"/>
          <w:u w:val="single"/>
          <w:lang w:val="de-DE"/>
        </w:rPr>
        <w:t xml:space="preserve"> </w:t>
      </w:r>
    </w:p>
    <w:p w14:paraId="6B52EFCA" w14:textId="0D905D04" w:rsidR="00C77207" w:rsidRDefault="00C77207" w:rsidP="008B3E33">
      <w:pPr>
        <w:rPr>
          <w:rStyle w:val="Hyperlink"/>
          <w:sz w:val="24"/>
          <w:szCs w:val="24"/>
          <w:lang w:val="de-DE"/>
        </w:rPr>
      </w:pPr>
      <w:r w:rsidRPr="00C77207">
        <w:rPr>
          <w:sz w:val="24"/>
          <w:szCs w:val="24"/>
          <w:lang w:val="de-DE"/>
        </w:rPr>
        <w:t xml:space="preserve">Rom-II-VO: </w:t>
      </w:r>
      <w:hyperlink r:id="rId30" w:history="1">
        <w:r w:rsidRPr="00C77207">
          <w:rPr>
            <w:rStyle w:val="Hyperlink"/>
            <w:sz w:val="24"/>
            <w:szCs w:val="24"/>
            <w:lang w:val="de-DE"/>
          </w:rPr>
          <w:t>https://dejure.org/gesetze/Rom-II-VO</w:t>
        </w:r>
      </w:hyperlink>
    </w:p>
    <w:p w14:paraId="764D1B05" w14:textId="46A1F845" w:rsidR="00EB7DC4" w:rsidRPr="00EB7DC4" w:rsidRDefault="00EB7DC4" w:rsidP="008B3E33">
      <w:pPr>
        <w:rPr>
          <w:rStyle w:val="Hyperlink"/>
          <w:color w:val="auto"/>
          <w:sz w:val="24"/>
          <w:szCs w:val="24"/>
          <w:u w:val="none"/>
          <w:lang w:val="de-DE"/>
        </w:rPr>
      </w:pPr>
      <w:r w:rsidRPr="00EB7DC4">
        <w:rPr>
          <w:rStyle w:val="Hyperlink"/>
          <w:color w:val="auto"/>
          <w:sz w:val="24"/>
          <w:szCs w:val="24"/>
          <w:u w:val="none"/>
          <w:lang w:val="de-DE"/>
        </w:rPr>
        <w:t>SGB V:</w:t>
      </w:r>
      <w:r>
        <w:rPr>
          <w:rStyle w:val="Hyperlink"/>
          <w:color w:val="auto"/>
          <w:sz w:val="24"/>
          <w:szCs w:val="24"/>
          <w:u w:val="none"/>
          <w:lang w:val="de-DE"/>
        </w:rPr>
        <w:t xml:space="preserve"> </w:t>
      </w:r>
      <w:hyperlink r:id="rId31" w:history="1">
        <w:r w:rsidRPr="00C87435">
          <w:rPr>
            <w:rStyle w:val="Hyperlink"/>
            <w:sz w:val="24"/>
            <w:szCs w:val="24"/>
            <w:lang w:val="de-DE"/>
          </w:rPr>
          <w:t>https://www.gesetze-im-internet.de/sgb_5/</w:t>
        </w:r>
      </w:hyperlink>
      <w:r>
        <w:rPr>
          <w:rStyle w:val="Hyperlink"/>
          <w:color w:val="auto"/>
          <w:sz w:val="24"/>
          <w:szCs w:val="24"/>
          <w:u w:val="none"/>
          <w:lang w:val="de-DE"/>
        </w:rPr>
        <w:t xml:space="preserve"> </w:t>
      </w:r>
    </w:p>
    <w:p w14:paraId="67C61B48" w14:textId="77777777" w:rsidR="00C77207" w:rsidRDefault="00C77207" w:rsidP="008B3E33">
      <w:pPr>
        <w:rPr>
          <w:rFonts w:ascii="Calibri" w:hAnsi="Calibri" w:cs="Calibri"/>
          <w:color w:val="000000" w:themeColor="text1"/>
          <w:sz w:val="24"/>
          <w:szCs w:val="24"/>
          <w:lang w:val="de-DE"/>
        </w:rPr>
      </w:pPr>
      <w:r>
        <w:rPr>
          <w:rFonts w:ascii="Calibri" w:hAnsi="Calibri" w:cs="Calibri"/>
          <w:color w:val="000000" w:themeColor="text1"/>
          <w:sz w:val="24"/>
          <w:szCs w:val="24"/>
          <w:lang w:val="de-DE"/>
        </w:rPr>
        <w:t xml:space="preserve">SGB VIII: </w:t>
      </w:r>
      <w:hyperlink r:id="rId32" w:history="1">
        <w:r w:rsidRPr="00C71282">
          <w:rPr>
            <w:rStyle w:val="Hyperlink"/>
            <w:rFonts w:ascii="Calibri" w:hAnsi="Calibri" w:cs="Calibri"/>
            <w:sz w:val="24"/>
            <w:szCs w:val="24"/>
            <w:lang w:val="de-DE"/>
          </w:rPr>
          <w:t>https://www.gesetze-im-internet.de/sgb_8/</w:t>
        </w:r>
      </w:hyperlink>
    </w:p>
    <w:p w14:paraId="36117F96" w14:textId="77777777" w:rsidR="00C77207" w:rsidRPr="008B3E33" w:rsidRDefault="00C77207" w:rsidP="008B3E33">
      <w:pPr>
        <w:rPr>
          <w:sz w:val="24"/>
          <w:szCs w:val="24"/>
          <w:lang w:val="de-DE"/>
        </w:rPr>
      </w:pPr>
      <w:r w:rsidRPr="008B3E33">
        <w:rPr>
          <w:sz w:val="24"/>
          <w:szCs w:val="24"/>
          <w:lang w:val="de-DE"/>
        </w:rPr>
        <w:t xml:space="preserve">StGB: </w:t>
      </w:r>
      <w:hyperlink r:id="rId33" w:history="1">
        <w:r w:rsidRPr="008B3E33">
          <w:rPr>
            <w:rStyle w:val="Hyperlink"/>
            <w:sz w:val="24"/>
            <w:szCs w:val="24"/>
            <w:lang w:val="de-DE"/>
          </w:rPr>
          <w:t>https://www.gesetze-im-internet.de/stgb/</w:t>
        </w:r>
      </w:hyperlink>
      <w:r w:rsidRPr="008B3E33">
        <w:rPr>
          <w:sz w:val="24"/>
          <w:szCs w:val="24"/>
          <w:lang w:val="de-DE"/>
        </w:rPr>
        <w:t xml:space="preserve"> </w:t>
      </w:r>
    </w:p>
    <w:p w14:paraId="58585C95" w14:textId="77777777" w:rsidR="00C77207" w:rsidRPr="008B3E33" w:rsidRDefault="00C77207" w:rsidP="008B3E33">
      <w:pPr>
        <w:rPr>
          <w:sz w:val="24"/>
          <w:szCs w:val="24"/>
          <w:lang w:val="de-DE"/>
        </w:rPr>
      </w:pPr>
      <w:r w:rsidRPr="008B3E33">
        <w:rPr>
          <w:sz w:val="24"/>
          <w:szCs w:val="24"/>
          <w:lang w:val="de-DE"/>
        </w:rPr>
        <w:t xml:space="preserve">StPO: </w:t>
      </w:r>
      <w:hyperlink r:id="rId34" w:history="1">
        <w:r w:rsidRPr="008B3E33">
          <w:rPr>
            <w:rStyle w:val="Hyperlink"/>
            <w:sz w:val="24"/>
            <w:szCs w:val="24"/>
            <w:lang w:val="de-DE"/>
          </w:rPr>
          <w:t>https://www.gesetze-im-internet.de/stpo/</w:t>
        </w:r>
      </w:hyperlink>
      <w:r w:rsidRPr="008B3E33">
        <w:rPr>
          <w:sz w:val="24"/>
          <w:szCs w:val="24"/>
          <w:lang w:val="de-DE"/>
        </w:rPr>
        <w:t xml:space="preserve"> </w:t>
      </w:r>
    </w:p>
    <w:p w14:paraId="50E497B8" w14:textId="77777777" w:rsidR="00C77207" w:rsidRPr="00C77207" w:rsidRDefault="00C77207" w:rsidP="008B3E33">
      <w:pPr>
        <w:rPr>
          <w:sz w:val="24"/>
          <w:szCs w:val="24"/>
          <w:lang w:val="de-DE"/>
        </w:rPr>
      </w:pPr>
      <w:r w:rsidRPr="00C77207">
        <w:rPr>
          <w:sz w:val="24"/>
          <w:szCs w:val="24"/>
          <w:lang w:val="de-DE"/>
        </w:rPr>
        <w:t xml:space="preserve">TKG: </w:t>
      </w:r>
      <w:hyperlink r:id="rId35" w:history="1">
        <w:r w:rsidRPr="00C77207">
          <w:rPr>
            <w:rStyle w:val="Hyperlink"/>
            <w:sz w:val="24"/>
            <w:szCs w:val="24"/>
            <w:lang w:val="de-DE"/>
          </w:rPr>
          <w:t>https://www.gesetze-im-internet.de/tkg_2021/</w:t>
        </w:r>
      </w:hyperlink>
      <w:r w:rsidRPr="00C77207">
        <w:rPr>
          <w:sz w:val="24"/>
          <w:szCs w:val="24"/>
          <w:lang w:val="de-DE"/>
        </w:rPr>
        <w:t xml:space="preserve"> </w:t>
      </w:r>
    </w:p>
    <w:p w14:paraId="6C9D54A5" w14:textId="77777777" w:rsidR="00C77207" w:rsidRPr="008B3E33" w:rsidRDefault="00C77207" w:rsidP="008B3E33">
      <w:pPr>
        <w:rPr>
          <w:sz w:val="24"/>
          <w:szCs w:val="24"/>
          <w:lang w:val="de-DE"/>
        </w:rPr>
      </w:pPr>
      <w:r w:rsidRPr="008B3E33">
        <w:rPr>
          <w:sz w:val="24"/>
          <w:szCs w:val="24"/>
          <w:lang w:val="de-DE"/>
        </w:rPr>
        <w:t xml:space="preserve">ZPO: </w:t>
      </w:r>
      <w:hyperlink r:id="rId36" w:history="1">
        <w:r w:rsidRPr="008B3E33">
          <w:rPr>
            <w:rStyle w:val="Hyperlink"/>
            <w:sz w:val="24"/>
            <w:szCs w:val="24"/>
            <w:lang w:val="de-DE"/>
          </w:rPr>
          <w:t>https://www.gesetze-im-internet.de/zpo/</w:t>
        </w:r>
      </w:hyperlink>
    </w:p>
    <w:p w14:paraId="01AF1BD5" w14:textId="77777777" w:rsidR="004C7FAF" w:rsidRDefault="004C7FAF" w:rsidP="004C7FAF">
      <w:pPr>
        <w:jc w:val="both"/>
        <w:rPr>
          <w:b/>
          <w:sz w:val="24"/>
          <w:lang w:val="de-DE"/>
        </w:rPr>
      </w:pPr>
    </w:p>
    <w:p w14:paraId="0612E6B1" w14:textId="77777777" w:rsidR="004C7FAF" w:rsidRDefault="004C7FAF" w:rsidP="004C7FAF">
      <w:pPr>
        <w:jc w:val="both"/>
        <w:rPr>
          <w:b/>
          <w:sz w:val="24"/>
          <w:lang w:val="de-DE"/>
        </w:rPr>
      </w:pPr>
    </w:p>
    <w:p w14:paraId="1BFCF86D" w14:textId="56001EEF" w:rsidR="004C7FAF" w:rsidRDefault="004C7FAF" w:rsidP="004C7FAF">
      <w:pPr>
        <w:jc w:val="both"/>
        <w:rPr>
          <w:b/>
          <w:sz w:val="24"/>
          <w:lang w:val="de-DE"/>
        </w:rPr>
      </w:pPr>
      <w:bookmarkStart w:id="0" w:name="_GoBack"/>
      <w:bookmarkEnd w:id="0"/>
    </w:p>
    <w:p w14:paraId="5DAF9528" w14:textId="1BD38997" w:rsidR="004C7FAF" w:rsidRDefault="004C7FAF" w:rsidP="004C7FAF">
      <w:pPr>
        <w:jc w:val="both"/>
        <w:rPr>
          <w:b/>
          <w:sz w:val="24"/>
          <w:lang w:val="de-DE"/>
        </w:rPr>
      </w:pPr>
    </w:p>
    <w:p w14:paraId="1D5223AC" w14:textId="77777777" w:rsidR="004C7FAF" w:rsidRDefault="004C7FAF" w:rsidP="004C7FAF">
      <w:pPr>
        <w:jc w:val="both"/>
        <w:rPr>
          <w:b/>
          <w:sz w:val="24"/>
          <w:lang w:val="de-DE"/>
        </w:rPr>
      </w:pPr>
    </w:p>
    <w:p w14:paraId="69257EA6" w14:textId="77777777" w:rsidR="004C7FAF" w:rsidRDefault="004C7FAF" w:rsidP="004C7FAF">
      <w:pPr>
        <w:jc w:val="both"/>
        <w:rPr>
          <w:b/>
          <w:sz w:val="24"/>
          <w:lang w:val="de-DE"/>
        </w:rPr>
      </w:pPr>
    </w:p>
    <w:p w14:paraId="05D61143" w14:textId="735DA31B" w:rsidR="004C7FAF" w:rsidRPr="004C7FAF" w:rsidRDefault="004C7FAF" w:rsidP="004C7FAF">
      <w:pPr>
        <w:jc w:val="both"/>
        <w:rPr>
          <w:i/>
          <w:sz w:val="24"/>
          <w:lang w:val="de-DE"/>
        </w:rPr>
      </w:pPr>
      <w:r w:rsidRPr="004C7FAF">
        <w:rPr>
          <w:b/>
          <w:i/>
          <w:sz w:val="24"/>
          <w:lang w:val="de-DE"/>
        </w:rPr>
        <w:t>Hintergrund</w:t>
      </w:r>
      <w:r w:rsidRPr="004C7FAF">
        <w:rPr>
          <w:i/>
          <w:sz w:val="24"/>
          <w:lang w:val="de-DE"/>
        </w:rPr>
        <w:t>: Die vorliegende Rechtsanalyse wurde im Rahmen des Projektes „Developing travel &amp; tourism with child protection in focus for a sustainable post-COVID-19 pandemic recovery” von ECPAT International in Auftrag gegeben. Das Projekt wird mit Unterstützung der Deutschen Gesellschaft für Internationale Zusammenarbeit (GIZ) GmbH im Auftrag des deutschen Bundesministeriums für wirtschaftliche Zusammenarbeit und Entwicklung (BMZ) durchgeführt.</w:t>
      </w:r>
    </w:p>
    <w:p w14:paraId="6A472BEE" w14:textId="577F3331" w:rsidR="004C7FAF" w:rsidRPr="00B06BCB" w:rsidRDefault="004C7FAF" w:rsidP="004C7FAF">
      <w:pPr>
        <w:jc w:val="center"/>
        <w:rPr>
          <w:sz w:val="24"/>
          <w:lang w:val="de-DE"/>
        </w:rPr>
      </w:pPr>
      <w:r>
        <w:rPr>
          <w:noProof/>
          <w:sz w:val="24"/>
        </w:rPr>
        <w:drawing>
          <wp:inline distT="0" distB="0" distL="0" distR="0" wp14:anchorId="4085151F" wp14:editId="25DAD738">
            <wp:extent cx="4023995" cy="792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23995" cy="792480"/>
                    </a:xfrm>
                    <a:prstGeom prst="rect">
                      <a:avLst/>
                    </a:prstGeom>
                    <a:noFill/>
                  </pic:spPr>
                </pic:pic>
              </a:graphicData>
            </a:graphic>
          </wp:inline>
        </w:drawing>
      </w:r>
    </w:p>
    <w:p w14:paraId="0060EE6B" w14:textId="77777777" w:rsidR="004C7FAF" w:rsidRPr="00B06BCB" w:rsidRDefault="004C7FAF" w:rsidP="004C7FAF">
      <w:pPr>
        <w:rPr>
          <w:sz w:val="24"/>
          <w:lang w:val="de-DE"/>
        </w:rPr>
      </w:pPr>
    </w:p>
    <w:p w14:paraId="5D70CD40" w14:textId="77777777" w:rsidR="00C14AF0" w:rsidRPr="00C77207" w:rsidRDefault="00C14AF0">
      <w:pPr>
        <w:rPr>
          <w:lang w:val="de-DE"/>
        </w:rPr>
      </w:pPr>
    </w:p>
    <w:sectPr w:rsidR="00C14AF0" w:rsidRPr="00C77207" w:rsidSect="00B06BCB">
      <w:footerReference w:type="default" r:id="rId38"/>
      <w:headerReference w:type="first" r:id="rId39"/>
      <w:pgSz w:w="15840" w:h="12240" w:orient="landscape"/>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1CE35" w16cex:dateUtc="2022-04-01T17:17:00Z"/>
  <w16cex:commentExtensible w16cex:durableId="25F1CE1E" w16cex:dateUtc="2022-04-01T17:16:00Z"/>
  <w16cex:commentExtensible w16cex:durableId="25F1CEE9" w16cex:dateUtc="2022-04-01T17:20:00Z"/>
  <w16cex:commentExtensible w16cex:durableId="25F1D035" w16cex:dateUtc="2022-04-01T17:25:00Z"/>
  <w16cex:commentExtensible w16cex:durableId="25F1D1F6" w16cex:dateUtc="2022-04-01T17:33:00Z"/>
  <w16cex:commentExtensible w16cex:durableId="25F1D2D1" w16cex:dateUtc="2022-04-01T17:36:00Z"/>
  <w16cex:commentExtensible w16cex:durableId="25F1D36D" w16cex:dateUtc="2022-04-01T17:39:00Z"/>
  <w16cex:commentExtensible w16cex:durableId="25F1D63F" w16cex:dateUtc="2022-04-01T17:51: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462E5" w14:textId="77777777" w:rsidR="00C24EFD" w:rsidRDefault="00C24EFD" w:rsidP="001C2BA0">
      <w:pPr>
        <w:spacing w:after="0" w:line="240" w:lineRule="auto"/>
      </w:pPr>
      <w:r>
        <w:separator/>
      </w:r>
    </w:p>
  </w:endnote>
  <w:endnote w:type="continuationSeparator" w:id="0">
    <w:p w14:paraId="6D8FBD01" w14:textId="77777777" w:rsidR="00C24EFD" w:rsidRDefault="00C24EFD" w:rsidP="001C2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578489"/>
      <w:docPartObj>
        <w:docPartGallery w:val="Page Numbers (Bottom of Page)"/>
        <w:docPartUnique/>
      </w:docPartObj>
    </w:sdtPr>
    <w:sdtEndPr>
      <w:rPr>
        <w:noProof/>
      </w:rPr>
    </w:sdtEndPr>
    <w:sdtContent>
      <w:p w14:paraId="4BC9EFFA" w14:textId="22CB38B7" w:rsidR="0076137D" w:rsidRDefault="0076137D">
        <w:pPr>
          <w:pStyle w:val="Footer"/>
          <w:jc w:val="center"/>
        </w:pPr>
        <w:r>
          <w:fldChar w:fldCharType="begin"/>
        </w:r>
        <w:r>
          <w:instrText xml:space="preserve"> PAGE   \* MERGEFORMAT </w:instrText>
        </w:r>
        <w:r>
          <w:fldChar w:fldCharType="separate"/>
        </w:r>
        <w:r w:rsidR="004C7FAF">
          <w:rPr>
            <w:noProof/>
          </w:rPr>
          <w:t>15</w:t>
        </w:r>
        <w:r>
          <w:rPr>
            <w:noProof/>
          </w:rPr>
          <w:fldChar w:fldCharType="end"/>
        </w:r>
      </w:p>
    </w:sdtContent>
  </w:sdt>
  <w:p w14:paraId="1D081BDF" w14:textId="77777777" w:rsidR="0076137D" w:rsidRDefault="0076137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B9D8A" w14:textId="77777777" w:rsidR="00C24EFD" w:rsidRDefault="00C24EFD" w:rsidP="001C2BA0">
      <w:pPr>
        <w:spacing w:after="0" w:line="240" w:lineRule="auto"/>
      </w:pPr>
      <w:r>
        <w:separator/>
      </w:r>
    </w:p>
  </w:footnote>
  <w:footnote w:type="continuationSeparator" w:id="0">
    <w:p w14:paraId="0CA468B5" w14:textId="77777777" w:rsidR="00C24EFD" w:rsidRDefault="00C24EFD" w:rsidP="001C2BA0">
      <w:pPr>
        <w:spacing w:after="0" w:line="240" w:lineRule="auto"/>
      </w:pPr>
      <w:r>
        <w:continuationSeparator/>
      </w:r>
    </w:p>
  </w:footnote>
  <w:footnote w:id="1">
    <w:p w14:paraId="158EAA80" w14:textId="77777777" w:rsidR="0076137D" w:rsidRPr="00083987" w:rsidRDefault="0076137D" w:rsidP="00746460">
      <w:pPr>
        <w:pStyle w:val="FootnoteText"/>
        <w:rPr>
          <w:lang w:val="de-DE"/>
        </w:rPr>
      </w:pPr>
      <w:r>
        <w:rPr>
          <w:rStyle w:val="FootnoteReference"/>
        </w:rPr>
        <w:footnoteRef/>
      </w:r>
      <w:r w:rsidRPr="00083987">
        <w:rPr>
          <w:lang w:val="de-DE"/>
        </w:rPr>
        <w:t xml:space="preserve"> </w:t>
      </w:r>
      <w:r>
        <w:rPr>
          <w:rFonts w:eastAsia="Calibri" w:cstheme="minorHAnsi"/>
          <w:lang w:val="de-DE"/>
        </w:rPr>
        <w:t xml:space="preserve">Hier sind </w:t>
      </w:r>
      <w:hyperlink r:id="rId1" w:history="1">
        <w:r w:rsidRPr="00083987">
          <w:rPr>
            <w:rStyle w:val="Hyperlink"/>
            <w:rFonts w:eastAsia="Calibri" w:cstheme="minorHAnsi"/>
            <w:lang w:val="de-DE"/>
          </w:rPr>
          <w:t>Hintergrundinformationen zur Legal Checklist</w:t>
        </w:r>
      </w:hyperlink>
      <w:r>
        <w:rPr>
          <w:rFonts w:eastAsia="Calibri" w:cstheme="minorHAnsi"/>
          <w:lang w:val="de-DE"/>
        </w:rPr>
        <w:t xml:space="preserve"> sowie die</w:t>
      </w:r>
      <w:r w:rsidRPr="00DA67D2">
        <w:rPr>
          <w:rFonts w:eastAsia="Calibri" w:cstheme="minorHAnsi"/>
          <w:lang w:val="de-DE"/>
        </w:rPr>
        <w:t xml:space="preserve"> </w:t>
      </w:r>
      <w:r w:rsidRPr="00DA67D2">
        <w:rPr>
          <w:rFonts w:eastAsia="Calibri" w:cstheme="minorHAnsi"/>
          <w:color w:val="0563C1"/>
          <w:u w:val="single"/>
          <w:lang w:val="de-DE"/>
        </w:rPr>
        <w:t>Bewertungsmatrix</w:t>
      </w:r>
      <w:r w:rsidRPr="00DA67D2">
        <w:rPr>
          <w:rFonts w:eastAsia="Calibri" w:cstheme="minorHAnsi"/>
          <w:lang w:val="de-DE"/>
        </w:rPr>
        <w:t xml:space="preserve"> </w:t>
      </w:r>
      <w:r>
        <w:rPr>
          <w:rFonts w:eastAsia="Calibri" w:cstheme="minorHAnsi"/>
          <w:lang w:val="de-DE"/>
        </w:rPr>
        <w:t>für Analysen der nationalen Rechtslage in Englisch zu finden.</w:t>
      </w:r>
    </w:p>
  </w:footnote>
  <w:footnote w:id="2">
    <w:p w14:paraId="6FC87574" w14:textId="7D8988FC" w:rsidR="0076137D" w:rsidRPr="001B4F4F" w:rsidRDefault="0076137D">
      <w:pPr>
        <w:pStyle w:val="FootnoteText"/>
        <w:rPr>
          <w:lang w:val="de-DE"/>
        </w:rPr>
      </w:pPr>
      <w:r>
        <w:rPr>
          <w:rStyle w:val="FootnoteReference"/>
        </w:rPr>
        <w:footnoteRef/>
      </w:r>
      <w:r w:rsidRPr="001B4F4F">
        <w:rPr>
          <w:lang w:val="de-DE"/>
        </w:rPr>
        <w:t xml:space="preserve"> </w:t>
      </w:r>
      <w:r>
        <w:rPr>
          <w:lang w:val="de-DE"/>
        </w:rPr>
        <w:t>In diesem Dokument wird basierend auf den rechtliche</w:t>
      </w:r>
      <w:r w:rsidR="00EF35AD">
        <w:rPr>
          <w:lang w:val="de-DE"/>
        </w:rPr>
        <w:t>n</w:t>
      </w:r>
      <w:r>
        <w:rPr>
          <w:lang w:val="de-DE"/>
        </w:rPr>
        <w:t xml:space="preserve"> Dokumenten ausschließlich die männliche Form verwendet. Sie bezieht sich auf Personen aller Geschlechter.</w:t>
      </w:r>
    </w:p>
  </w:footnote>
  <w:footnote w:id="3">
    <w:p w14:paraId="176C56BB" w14:textId="69D76615" w:rsidR="0076137D" w:rsidRPr="00C77207" w:rsidRDefault="0076137D">
      <w:pPr>
        <w:pStyle w:val="FootnoteText"/>
        <w:rPr>
          <w:szCs w:val="20"/>
          <w:lang w:val="de-DE"/>
        </w:rPr>
      </w:pPr>
      <w:r w:rsidRPr="00C77207">
        <w:rPr>
          <w:rStyle w:val="FootnoteReference"/>
          <w:szCs w:val="20"/>
        </w:rPr>
        <w:footnoteRef/>
      </w:r>
      <w:r w:rsidRPr="00C77207">
        <w:rPr>
          <w:szCs w:val="20"/>
          <w:lang w:val="de-DE"/>
        </w:rPr>
        <w:t xml:space="preserve"> </w:t>
      </w:r>
      <w:r w:rsidRPr="00C77207">
        <w:rPr>
          <w:i/>
          <w:szCs w:val="20"/>
          <w:lang w:val="de-DE"/>
        </w:rPr>
        <w:t>Eser/Weißer</w:t>
      </w:r>
      <w:r w:rsidRPr="00C77207">
        <w:rPr>
          <w:szCs w:val="20"/>
          <w:lang w:val="de-DE"/>
        </w:rPr>
        <w:t xml:space="preserve">, in: Schönke/Schröder (Hrsg.), Strafgesetzbuch, 30. Aufl. </w:t>
      </w:r>
      <w:r w:rsidRPr="00C77207">
        <w:rPr>
          <w:szCs w:val="20"/>
          <w:lang w:val="de-DE"/>
        </w:rPr>
        <w:t>2019, §</w:t>
      </w:r>
      <w:r>
        <w:rPr>
          <w:szCs w:val="20"/>
          <w:lang w:val="de-DE"/>
        </w:rPr>
        <w:t xml:space="preserve"> </w:t>
      </w:r>
      <w:r w:rsidRPr="00C77207">
        <w:rPr>
          <w:szCs w:val="20"/>
          <w:lang w:val="de-DE"/>
        </w:rPr>
        <w:t>6 Rn. 12.</w:t>
      </w:r>
    </w:p>
  </w:footnote>
  <w:footnote w:id="4">
    <w:p w14:paraId="3BE479D4" w14:textId="465C9BF2" w:rsidR="0076137D" w:rsidRPr="00C77207" w:rsidRDefault="0076137D">
      <w:pPr>
        <w:pStyle w:val="FootnoteText"/>
        <w:rPr>
          <w:szCs w:val="20"/>
          <w:lang w:val="de-DE"/>
        </w:rPr>
      </w:pPr>
      <w:r w:rsidRPr="00C77207">
        <w:rPr>
          <w:rStyle w:val="FootnoteReference"/>
          <w:szCs w:val="20"/>
        </w:rPr>
        <w:footnoteRef/>
      </w:r>
      <w:r w:rsidRPr="00C77207">
        <w:rPr>
          <w:szCs w:val="20"/>
          <w:lang w:val="de-DE"/>
        </w:rPr>
        <w:t xml:space="preserve"> </w:t>
      </w:r>
      <w:r w:rsidRPr="00C77207">
        <w:rPr>
          <w:i/>
          <w:szCs w:val="20"/>
          <w:lang w:val="de-DE"/>
        </w:rPr>
        <w:t xml:space="preserve">Ambos, </w:t>
      </w:r>
      <w:r w:rsidRPr="00C77207">
        <w:rPr>
          <w:szCs w:val="20"/>
          <w:lang w:val="de-DE"/>
        </w:rPr>
        <w:t xml:space="preserve">in: </w:t>
      </w:r>
      <w:r>
        <w:rPr>
          <w:szCs w:val="20"/>
          <w:lang w:val="de-DE"/>
        </w:rPr>
        <w:t xml:space="preserve">Erb/Schäfer </w:t>
      </w:r>
      <w:r>
        <w:rPr>
          <w:szCs w:val="20"/>
          <w:lang w:val="de-DE"/>
        </w:rPr>
        <w:t xml:space="preserve">(Hrsg.), </w:t>
      </w:r>
      <w:r w:rsidRPr="00C77207">
        <w:rPr>
          <w:szCs w:val="20"/>
          <w:lang w:val="de-DE"/>
        </w:rPr>
        <w:t>MüKoStGB, 4. Aufl. 2020, §</w:t>
      </w:r>
      <w:r>
        <w:rPr>
          <w:szCs w:val="20"/>
          <w:lang w:val="de-DE"/>
        </w:rPr>
        <w:t xml:space="preserve"> </w:t>
      </w:r>
      <w:r w:rsidRPr="00C77207">
        <w:rPr>
          <w:szCs w:val="20"/>
          <w:lang w:val="de-DE"/>
        </w:rPr>
        <w:t>5 Rn. 6.</w:t>
      </w:r>
    </w:p>
  </w:footnote>
  <w:footnote w:id="5">
    <w:p w14:paraId="39E8A9B2" w14:textId="6DB22FFD" w:rsidR="0076137D" w:rsidRPr="00C77207" w:rsidRDefault="0076137D">
      <w:pPr>
        <w:pStyle w:val="FootnoteText"/>
        <w:rPr>
          <w:szCs w:val="20"/>
          <w:lang w:val="de-DE"/>
        </w:rPr>
      </w:pPr>
      <w:r w:rsidRPr="00C77207">
        <w:rPr>
          <w:rStyle w:val="FootnoteReference"/>
          <w:szCs w:val="20"/>
        </w:rPr>
        <w:footnoteRef/>
      </w:r>
      <w:r w:rsidRPr="00C77207">
        <w:rPr>
          <w:szCs w:val="20"/>
          <w:lang w:val="de-DE"/>
        </w:rPr>
        <w:t xml:space="preserve"> S</w:t>
      </w:r>
      <w:r>
        <w:rPr>
          <w:szCs w:val="20"/>
          <w:lang w:val="de-DE"/>
        </w:rPr>
        <w:t>.</w:t>
      </w:r>
      <w:r w:rsidRPr="00C77207">
        <w:rPr>
          <w:szCs w:val="20"/>
          <w:lang w:val="de-DE"/>
        </w:rPr>
        <w:t xml:space="preserve"> LG Detmold</w:t>
      </w:r>
      <w:r>
        <w:rPr>
          <w:szCs w:val="20"/>
          <w:lang w:val="de-DE"/>
        </w:rPr>
        <w:t xml:space="preserve">, Urteil </w:t>
      </w:r>
      <w:r w:rsidRPr="00C77207">
        <w:rPr>
          <w:szCs w:val="20"/>
          <w:lang w:val="de-DE"/>
        </w:rPr>
        <w:t>v. 17.</w:t>
      </w:r>
      <w:r>
        <w:rPr>
          <w:szCs w:val="20"/>
          <w:lang w:val="de-DE"/>
        </w:rPr>
        <w:t>0</w:t>
      </w:r>
      <w:r w:rsidRPr="00C77207">
        <w:rPr>
          <w:szCs w:val="20"/>
          <w:lang w:val="de-DE"/>
        </w:rPr>
        <w:t xml:space="preserve">7.2019, </w:t>
      </w:r>
      <w:r w:rsidRPr="00C77207">
        <w:rPr>
          <w:szCs w:val="20"/>
          <w:lang w:val="de-DE"/>
        </w:rPr>
        <w:t>23 KLs 22 Js 1087/18 - 20/19, Rn. 65.</w:t>
      </w:r>
    </w:p>
  </w:footnote>
  <w:footnote w:id="6">
    <w:p w14:paraId="3B41E773" w14:textId="67E7E582" w:rsidR="0076137D" w:rsidRPr="00C77207" w:rsidRDefault="0076137D">
      <w:pPr>
        <w:pStyle w:val="FootnoteText"/>
        <w:rPr>
          <w:szCs w:val="20"/>
          <w:lang w:val="de-DE"/>
        </w:rPr>
      </w:pPr>
      <w:r w:rsidRPr="00C77207">
        <w:rPr>
          <w:rStyle w:val="FootnoteReference"/>
          <w:szCs w:val="20"/>
        </w:rPr>
        <w:footnoteRef/>
      </w:r>
      <w:r w:rsidRPr="00C77207">
        <w:rPr>
          <w:szCs w:val="20"/>
          <w:lang w:val="de-DE"/>
        </w:rPr>
        <w:t xml:space="preserve"> LG Detmold, Urteil v. 17.</w:t>
      </w:r>
      <w:r>
        <w:rPr>
          <w:szCs w:val="20"/>
          <w:lang w:val="de-DE"/>
        </w:rPr>
        <w:t>0</w:t>
      </w:r>
      <w:r w:rsidRPr="00C77207">
        <w:rPr>
          <w:szCs w:val="20"/>
          <w:lang w:val="de-DE"/>
        </w:rPr>
        <w:t xml:space="preserve">7.2019, </w:t>
      </w:r>
      <w:r w:rsidRPr="00C77207">
        <w:rPr>
          <w:szCs w:val="20"/>
          <w:lang w:val="de-DE"/>
        </w:rPr>
        <w:t>23 KLs 22 Js 1087/18 - 20/19, Rn. 63.</w:t>
      </w:r>
    </w:p>
  </w:footnote>
  <w:footnote w:id="7">
    <w:p w14:paraId="20AE93E8" w14:textId="37360F93" w:rsidR="0076137D" w:rsidRPr="00C77207" w:rsidRDefault="0076137D">
      <w:pPr>
        <w:pStyle w:val="FootnoteText"/>
        <w:rPr>
          <w:szCs w:val="20"/>
          <w:lang w:val="de-DE"/>
        </w:rPr>
      </w:pPr>
      <w:r w:rsidRPr="00C77207">
        <w:rPr>
          <w:rStyle w:val="FootnoteReference"/>
          <w:szCs w:val="20"/>
        </w:rPr>
        <w:footnoteRef/>
      </w:r>
      <w:r w:rsidRPr="00C77207">
        <w:rPr>
          <w:szCs w:val="20"/>
          <w:lang w:val="de-DE"/>
        </w:rPr>
        <w:t xml:space="preserve"> Siehe etwa </w:t>
      </w:r>
      <w:r w:rsidRPr="00C77207">
        <w:rPr>
          <w:i/>
          <w:szCs w:val="20"/>
          <w:lang w:val="de-DE"/>
        </w:rPr>
        <w:t xml:space="preserve">Eser/Weiße, </w:t>
      </w:r>
      <w:r w:rsidRPr="00C77207">
        <w:rPr>
          <w:szCs w:val="20"/>
          <w:lang w:val="de-DE"/>
        </w:rPr>
        <w:t xml:space="preserve">in: Schönke/Schröder, StGB, 30. Aufl. </w:t>
      </w:r>
      <w:r w:rsidRPr="00C77207">
        <w:rPr>
          <w:szCs w:val="20"/>
          <w:lang w:val="de-DE"/>
        </w:rPr>
        <w:t xml:space="preserve">2019, § 9 Rn. 7 ff.; </w:t>
      </w:r>
      <w:r w:rsidRPr="00C77207">
        <w:rPr>
          <w:i/>
          <w:szCs w:val="20"/>
          <w:lang w:val="de-DE"/>
        </w:rPr>
        <w:t>Ambos</w:t>
      </w:r>
      <w:r w:rsidRPr="00C77207">
        <w:rPr>
          <w:szCs w:val="20"/>
          <w:lang w:val="de-DE"/>
        </w:rPr>
        <w:t xml:space="preserve">, in </w:t>
      </w:r>
      <w:r>
        <w:rPr>
          <w:szCs w:val="20"/>
          <w:lang w:val="de-DE"/>
        </w:rPr>
        <w:t xml:space="preserve">Erb/Schäfer (Hrsg.), </w:t>
      </w:r>
      <w:r w:rsidRPr="00C77207">
        <w:rPr>
          <w:szCs w:val="20"/>
          <w:lang w:val="de-DE"/>
        </w:rPr>
        <w:t>MüKoStGB, 4. Aufl. 2020, § 9 Rn. 26 ff.</w:t>
      </w:r>
    </w:p>
  </w:footnote>
  <w:footnote w:id="8">
    <w:p w14:paraId="726725DD" w14:textId="2E550695" w:rsidR="0076137D" w:rsidRPr="00C77207" w:rsidRDefault="0076137D">
      <w:pPr>
        <w:pStyle w:val="FootnoteText"/>
        <w:rPr>
          <w:szCs w:val="20"/>
          <w:lang w:val="de-DE"/>
        </w:rPr>
      </w:pPr>
      <w:r w:rsidRPr="00C77207">
        <w:rPr>
          <w:rStyle w:val="FootnoteReference"/>
          <w:szCs w:val="20"/>
        </w:rPr>
        <w:footnoteRef/>
      </w:r>
      <w:r w:rsidRPr="00C77207">
        <w:rPr>
          <w:szCs w:val="20"/>
          <w:lang w:val="de-DE"/>
        </w:rPr>
        <w:t xml:space="preserve"> Europäisches Auslieferungsübereinkommen (amtliche Übersetzung Deutschlands), Paris, 13.XII.1957.</w:t>
      </w:r>
    </w:p>
  </w:footnote>
  <w:footnote w:id="9">
    <w:p w14:paraId="732A0859" w14:textId="67FDC1E6" w:rsidR="0076137D" w:rsidRPr="00C77207" w:rsidRDefault="0076137D">
      <w:pPr>
        <w:pStyle w:val="FootnoteText"/>
        <w:rPr>
          <w:szCs w:val="20"/>
          <w:lang w:val="de-DE"/>
        </w:rPr>
      </w:pPr>
      <w:r w:rsidRPr="00C77207">
        <w:rPr>
          <w:rStyle w:val="FootnoteReference"/>
          <w:szCs w:val="20"/>
        </w:rPr>
        <w:footnoteRef/>
      </w:r>
      <w:r w:rsidRPr="00C77207">
        <w:rPr>
          <w:szCs w:val="20"/>
          <w:lang w:val="de-DE"/>
        </w:rPr>
        <w:t xml:space="preserve"> Siehe </w:t>
      </w:r>
      <w:r w:rsidRPr="00C77207">
        <w:rPr>
          <w:szCs w:val="20"/>
          <w:lang w:val="de-DE"/>
        </w:rPr>
        <w:t>für vollständige Auflistung BT-Drs. 19/3434.</w:t>
      </w:r>
    </w:p>
  </w:footnote>
  <w:footnote w:id="10">
    <w:p w14:paraId="32567CB7" w14:textId="7F741DEA" w:rsidR="0076137D" w:rsidRPr="00C77207" w:rsidRDefault="0076137D">
      <w:pPr>
        <w:pStyle w:val="FootnoteText"/>
        <w:rPr>
          <w:szCs w:val="20"/>
          <w:lang w:val="de-DE"/>
        </w:rPr>
      </w:pPr>
      <w:r w:rsidRPr="00C77207">
        <w:rPr>
          <w:rStyle w:val="FootnoteReference"/>
          <w:szCs w:val="20"/>
        </w:rPr>
        <w:footnoteRef/>
      </w:r>
      <w:r w:rsidRPr="00C77207">
        <w:rPr>
          <w:szCs w:val="20"/>
          <w:lang w:val="de-DE"/>
        </w:rPr>
        <w:t xml:space="preserve"> </w:t>
      </w:r>
      <w:r w:rsidRPr="00C77207">
        <w:rPr>
          <w:i/>
          <w:szCs w:val="20"/>
          <w:lang w:val="de-DE"/>
        </w:rPr>
        <w:t>Heger/Wolter</w:t>
      </w:r>
      <w:r w:rsidRPr="00C77207">
        <w:rPr>
          <w:szCs w:val="20"/>
          <w:lang w:val="de-DE"/>
        </w:rPr>
        <w:t xml:space="preserve">, in: Ambos/König/Rackow (Hrsg.), Rechtshilferecht in Strafsachen, 2. Aufl. </w:t>
      </w:r>
      <w:r w:rsidRPr="00C77207">
        <w:rPr>
          <w:szCs w:val="20"/>
          <w:lang w:val="de-DE"/>
        </w:rPr>
        <w:t>2020, RbEuHb Art. 2 Rn. 656.</w:t>
      </w:r>
    </w:p>
  </w:footnote>
  <w:footnote w:id="11">
    <w:p w14:paraId="4C4FDE52" w14:textId="510C22AA" w:rsidR="0076137D" w:rsidRPr="00C77207" w:rsidRDefault="0076137D">
      <w:pPr>
        <w:pStyle w:val="FootnoteText"/>
        <w:rPr>
          <w:szCs w:val="20"/>
          <w:lang w:val="de-DE"/>
        </w:rPr>
      </w:pPr>
      <w:r w:rsidRPr="00C77207">
        <w:rPr>
          <w:rStyle w:val="FootnoteReference"/>
          <w:szCs w:val="20"/>
        </w:rPr>
        <w:footnoteRef/>
      </w:r>
      <w:r w:rsidRPr="00C77207">
        <w:rPr>
          <w:szCs w:val="20"/>
          <w:lang w:val="de-DE"/>
        </w:rPr>
        <w:t xml:space="preserve"> </w:t>
      </w:r>
      <w:r w:rsidRPr="00C77207">
        <w:rPr>
          <w:i/>
          <w:szCs w:val="20"/>
          <w:lang w:val="de-DE"/>
        </w:rPr>
        <w:t xml:space="preserve">Eser/Weißer, </w:t>
      </w:r>
      <w:r w:rsidRPr="00C77207">
        <w:rPr>
          <w:szCs w:val="20"/>
          <w:lang w:val="de-DE"/>
        </w:rPr>
        <w:t xml:space="preserve">in: Schönke/Schröder, StGB, 30. Aufl. </w:t>
      </w:r>
      <w:r w:rsidRPr="00C77207">
        <w:rPr>
          <w:szCs w:val="20"/>
          <w:lang w:val="de-DE"/>
        </w:rPr>
        <w:t>2019, § 7 Rn. 2.</w:t>
      </w:r>
    </w:p>
  </w:footnote>
  <w:footnote w:id="12">
    <w:p w14:paraId="2CBD836D" w14:textId="4889CFA5" w:rsidR="0076137D" w:rsidRPr="00C77207" w:rsidRDefault="0076137D">
      <w:pPr>
        <w:pStyle w:val="FootnoteText"/>
        <w:rPr>
          <w:szCs w:val="20"/>
          <w:lang w:val="de-DE"/>
        </w:rPr>
      </w:pPr>
      <w:r w:rsidRPr="00C77207">
        <w:rPr>
          <w:rStyle w:val="FootnoteReference"/>
          <w:szCs w:val="20"/>
        </w:rPr>
        <w:footnoteRef/>
      </w:r>
      <w:r w:rsidRPr="00C77207">
        <w:rPr>
          <w:szCs w:val="20"/>
          <w:lang w:val="de-DE"/>
        </w:rPr>
        <w:t xml:space="preserve"> </w:t>
      </w:r>
      <w:r w:rsidRPr="00C77207">
        <w:rPr>
          <w:i/>
          <w:szCs w:val="20"/>
          <w:lang w:val="de-DE"/>
        </w:rPr>
        <w:t xml:space="preserve">Cziersky-Reis, </w:t>
      </w:r>
      <w:r w:rsidRPr="00C77207">
        <w:rPr>
          <w:szCs w:val="20"/>
          <w:lang w:val="de-DE"/>
        </w:rPr>
        <w:t>in: Hofmann (Hrsg.), Ausländerrecht, 2. Aufl. 2016, FreizügG, §</w:t>
      </w:r>
      <w:r>
        <w:rPr>
          <w:szCs w:val="20"/>
          <w:lang w:val="de-DE"/>
        </w:rPr>
        <w:t xml:space="preserve"> </w:t>
      </w:r>
      <w:r w:rsidRPr="00C77207">
        <w:rPr>
          <w:szCs w:val="20"/>
          <w:lang w:val="de-DE"/>
        </w:rPr>
        <w:t xml:space="preserve">6 Rn. 29; </w:t>
      </w:r>
      <w:r w:rsidRPr="00C77207">
        <w:rPr>
          <w:i/>
          <w:szCs w:val="20"/>
          <w:lang w:val="de-DE"/>
        </w:rPr>
        <w:t xml:space="preserve">Dienelt, </w:t>
      </w:r>
      <w:r w:rsidRPr="00C77207">
        <w:rPr>
          <w:szCs w:val="20"/>
          <w:lang w:val="de-DE"/>
        </w:rPr>
        <w:t>in: Bergmann/ders. (Hrsg.), Ausländerrecht, 13. Aufl. 2020, FreizügG, §</w:t>
      </w:r>
      <w:r>
        <w:rPr>
          <w:szCs w:val="20"/>
          <w:lang w:val="de-DE"/>
        </w:rPr>
        <w:t xml:space="preserve"> </w:t>
      </w:r>
      <w:r w:rsidRPr="00C77207">
        <w:rPr>
          <w:szCs w:val="20"/>
          <w:lang w:val="de-DE"/>
        </w:rPr>
        <w:t>6 Rn. 6.2.3.</w:t>
      </w:r>
    </w:p>
  </w:footnote>
  <w:footnote w:id="13">
    <w:p w14:paraId="5D73783C" w14:textId="1F30C281" w:rsidR="0076137D" w:rsidRPr="00C77207" w:rsidRDefault="0076137D">
      <w:pPr>
        <w:pStyle w:val="FootnoteText"/>
        <w:rPr>
          <w:szCs w:val="20"/>
          <w:lang w:val="de-DE"/>
        </w:rPr>
      </w:pPr>
      <w:r w:rsidRPr="00C77207">
        <w:rPr>
          <w:rStyle w:val="FootnoteReference"/>
          <w:szCs w:val="20"/>
        </w:rPr>
        <w:footnoteRef/>
      </w:r>
      <w:r w:rsidRPr="00C77207">
        <w:rPr>
          <w:szCs w:val="20"/>
          <w:lang w:val="de-DE"/>
        </w:rPr>
        <w:t xml:space="preserve"> </w:t>
      </w:r>
      <w:r w:rsidRPr="00C77207">
        <w:rPr>
          <w:i/>
          <w:szCs w:val="20"/>
          <w:lang w:val="de-DE"/>
        </w:rPr>
        <w:t>Renzikowski</w:t>
      </w:r>
      <w:r w:rsidRPr="00C77207">
        <w:rPr>
          <w:szCs w:val="20"/>
          <w:lang w:val="de-DE"/>
        </w:rPr>
        <w:t xml:space="preserve">, </w:t>
      </w:r>
      <w:r w:rsidRPr="00C77207">
        <w:rPr>
          <w:szCs w:val="20"/>
          <w:lang w:val="de-DE"/>
        </w:rPr>
        <w:t xml:space="preserve">in: </w:t>
      </w:r>
      <w:r>
        <w:rPr>
          <w:szCs w:val="20"/>
          <w:lang w:val="de-DE"/>
        </w:rPr>
        <w:t xml:space="preserve">Erb/Schäfer (Hrsg.), </w:t>
      </w:r>
      <w:r w:rsidRPr="00C77207">
        <w:rPr>
          <w:szCs w:val="20"/>
          <w:lang w:val="de-DE"/>
        </w:rPr>
        <w:t>MüKoStGB, 4. Aufl. 2021, § 182 Rn. 46.</w:t>
      </w:r>
    </w:p>
  </w:footnote>
  <w:footnote w:id="14">
    <w:p w14:paraId="068055E9" w14:textId="7B60866D" w:rsidR="0076137D" w:rsidRPr="00C77207" w:rsidRDefault="0076137D">
      <w:pPr>
        <w:pStyle w:val="FootnoteText"/>
        <w:rPr>
          <w:szCs w:val="20"/>
          <w:lang w:val="de-DE"/>
        </w:rPr>
      </w:pPr>
      <w:r w:rsidRPr="00C77207">
        <w:rPr>
          <w:rStyle w:val="FootnoteReference"/>
          <w:szCs w:val="20"/>
        </w:rPr>
        <w:footnoteRef/>
      </w:r>
      <w:r w:rsidRPr="00C77207">
        <w:rPr>
          <w:szCs w:val="20"/>
          <w:lang w:val="de-DE"/>
        </w:rPr>
        <w:t xml:space="preserve"> Vgl. BGH, Urteil v. </w:t>
      </w:r>
      <w:r w:rsidRPr="00C77207">
        <w:rPr>
          <w:szCs w:val="20"/>
          <w:lang w:val="de-DE"/>
        </w:rPr>
        <w:t>16.06.2020 – 6 StR 82/20, NStZ-RR 2020, 277.</w:t>
      </w:r>
    </w:p>
  </w:footnote>
  <w:footnote w:id="15">
    <w:p w14:paraId="53B94AD4" w14:textId="23B84DC2" w:rsidR="0076137D" w:rsidRPr="00C77207" w:rsidRDefault="0076137D">
      <w:pPr>
        <w:pStyle w:val="FootnoteText"/>
        <w:rPr>
          <w:szCs w:val="20"/>
          <w:lang w:val="de-DE"/>
        </w:rPr>
      </w:pPr>
      <w:r w:rsidRPr="00C77207">
        <w:rPr>
          <w:rStyle w:val="FootnoteReference"/>
          <w:szCs w:val="20"/>
        </w:rPr>
        <w:footnoteRef/>
      </w:r>
      <w:r w:rsidRPr="00C77207">
        <w:rPr>
          <w:szCs w:val="20"/>
          <w:lang w:val="de-DE"/>
        </w:rPr>
        <w:t xml:space="preserve"> </w:t>
      </w:r>
      <w:r w:rsidRPr="00C77207">
        <w:rPr>
          <w:i/>
          <w:szCs w:val="20"/>
          <w:lang w:val="de-DE"/>
        </w:rPr>
        <w:t xml:space="preserve">Renzikowski, </w:t>
      </w:r>
      <w:r w:rsidRPr="00C77207">
        <w:rPr>
          <w:szCs w:val="20"/>
          <w:lang w:val="de-DE"/>
        </w:rPr>
        <w:t xml:space="preserve">in: </w:t>
      </w:r>
      <w:r>
        <w:rPr>
          <w:szCs w:val="20"/>
          <w:lang w:val="de-DE"/>
        </w:rPr>
        <w:t xml:space="preserve">Erb/Schäfer (Hrsg.), </w:t>
      </w:r>
      <w:r w:rsidRPr="00C77207">
        <w:rPr>
          <w:szCs w:val="20"/>
          <w:lang w:val="de-DE"/>
        </w:rPr>
        <w:t>MüKo StGB, 4. Aufl. 2021, § 182 Rn. 56.</w:t>
      </w:r>
    </w:p>
  </w:footnote>
  <w:footnote w:id="16">
    <w:p w14:paraId="482F3DB7" w14:textId="1A2B8461" w:rsidR="0076137D" w:rsidRPr="00C77207" w:rsidRDefault="0076137D">
      <w:pPr>
        <w:pStyle w:val="FootnoteText"/>
        <w:rPr>
          <w:szCs w:val="20"/>
          <w:lang w:val="de-DE"/>
        </w:rPr>
      </w:pPr>
      <w:r w:rsidRPr="00C77207">
        <w:rPr>
          <w:rStyle w:val="FootnoteReference"/>
          <w:szCs w:val="20"/>
        </w:rPr>
        <w:footnoteRef/>
      </w:r>
      <w:r w:rsidRPr="00C77207">
        <w:rPr>
          <w:szCs w:val="20"/>
          <w:lang w:val="de-DE"/>
        </w:rPr>
        <w:t xml:space="preserve"> </w:t>
      </w:r>
      <w:r w:rsidRPr="00C77207">
        <w:rPr>
          <w:i/>
          <w:szCs w:val="20"/>
          <w:lang w:val="de-DE"/>
        </w:rPr>
        <w:t xml:space="preserve">Graf, </w:t>
      </w:r>
      <w:r w:rsidRPr="00C77207">
        <w:rPr>
          <w:szCs w:val="20"/>
          <w:lang w:val="de-DE"/>
        </w:rPr>
        <w:t xml:space="preserve">in: KK-StPO, 8. Aufl. </w:t>
      </w:r>
      <w:r w:rsidRPr="00C77207">
        <w:rPr>
          <w:szCs w:val="20"/>
          <w:lang w:val="de-DE"/>
        </w:rPr>
        <w:t>2019, § 112a Rn. 7.</w:t>
      </w:r>
    </w:p>
  </w:footnote>
  <w:footnote w:id="17">
    <w:p w14:paraId="42F7AB8E" w14:textId="64A0582A" w:rsidR="0076137D" w:rsidRPr="00C77207" w:rsidRDefault="0076137D">
      <w:pPr>
        <w:pStyle w:val="FootnoteText"/>
        <w:rPr>
          <w:szCs w:val="20"/>
          <w:lang w:val="de-DE"/>
        </w:rPr>
      </w:pPr>
      <w:r w:rsidRPr="00C77207">
        <w:rPr>
          <w:rStyle w:val="FootnoteReference"/>
          <w:szCs w:val="20"/>
        </w:rPr>
        <w:footnoteRef/>
      </w:r>
      <w:r w:rsidRPr="00C77207">
        <w:rPr>
          <w:szCs w:val="20"/>
          <w:lang w:val="de-DE"/>
        </w:rPr>
        <w:t xml:space="preserve"> </w:t>
      </w:r>
      <w:r w:rsidRPr="00C77207">
        <w:rPr>
          <w:i/>
          <w:szCs w:val="20"/>
          <w:lang w:val="de-DE"/>
        </w:rPr>
        <w:t xml:space="preserve">Ziegler, </w:t>
      </w:r>
      <w:r w:rsidRPr="00C77207">
        <w:rPr>
          <w:szCs w:val="20"/>
          <w:lang w:val="de-DE"/>
        </w:rPr>
        <w:t>in: Heintschel-Heinegg (Hrsg.), BeckOK StGB, 52.Edition 01.02.2022, § 176c Rn. 2.</w:t>
      </w:r>
    </w:p>
  </w:footnote>
  <w:footnote w:id="18">
    <w:p w14:paraId="6CA49D1A" w14:textId="152FBB0B" w:rsidR="0076137D" w:rsidRPr="00C77207" w:rsidRDefault="0076137D">
      <w:pPr>
        <w:pStyle w:val="FootnoteText"/>
        <w:rPr>
          <w:szCs w:val="20"/>
          <w:lang w:val="de-DE"/>
        </w:rPr>
      </w:pPr>
      <w:r w:rsidRPr="00C77207">
        <w:rPr>
          <w:rStyle w:val="FootnoteReference"/>
          <w:szCs w:val="20"/>
        </w:rPr>
        <w:footnoteRef/>
      </w:r>
      <w:r w:rsidRPr="00C77207">
        <w:rPr>
          <w:szCs w:val="20"/>
          <w:lang w:val="de-DE"/>
        </w:rPr>
        <w:t xml:space="preserve"> Bundesministerium für Justiz und Verbraucherschutz, Sexueller Kindesmissbrauch in Einrichtungen – Was ist in einem Verdachtsfall zu tun?, 2021, URL: https://www.bmj.de/SharedDocs/Publikationen/DE/Verdacht_Kindesmissbrauch_Einrichtung.pdf?__blob=publicationFile&amp;v=8 (zuletzt abgerufen am 08.03.2022).</w:t>
      </w:r>
    </w:p>
  </w:footnote>
  <w:footnote w:id="19">
    <w:p w14:paraId="6E087311" w14:textId="1F2F2A8B" w:rsidR="0076137D" w:rsidRPr="00C77207" w:rsidRDefault="0076137D">
      <w:pPr>
        <w:pStyle w:val="FootnoteText"/>
        <w:rPr>
          <w:szCs w:val="20"/>
          <w:lang w:val="de-DE"/>
        </w:rPr>
      </w:pPr>
      <w:r w:rsidRPr="00C77207">
        <w:rPr>
          <w:rStyle w:val="FootnoteReference"/>
          <w:szCs w:val="20"/>
        </w:rPr>
        <w:footnoteRef/>
      </w:r>
      <w:r w:rsidRPr="00C77207">
        <w:rPr>
          <w:szCs w:val="20"/>
          <w:lang w:val="de-DE"/>
        </w:rPr>
        <w:t xml:space="preserve"> URL: https://www.nicht-wegsehen.net/ (zuletzt abgerufen am 09.03.2022).</w:t>
      </w:r>
    </w:p>
  </w:footnote>
  <w:footnote w:id="20">
    <w:p w14:paraId="43B1A542" w14:textId="722413B1" w:rsidR="0076137D" w:rsidRPr="00C77207" w:rsidRDefault="0076137D">
      <w:pPr>
        <w:pStyle w:val="FootnoteText"/>
        <w:rPr>
          <w:szCs w:val="20"/>
          <w:lang w:val="de-DE"/>
        </w:rPr>
      </w:pPr>
      <w:r w:rsidRPr="00C77207">
        <w:rPr>
          <w:rStyle w:val="FootnoteReference"/>
          <w:szCs w:val="20"/>
        </w:rPr>
        <w:footnoteRef/>
      </w:r>
      <w:r w:rsidRPr="00C77207">
        <w:rPr>
          <w:szCs w:val="20"/>
          <w:lang w:val="de-DE"/>
        </w:rPr>
        <w:t xml:space="preserve"> Weite Informationen unter URL: https://www.drv.de/themen/nachhaltigkeit/kinderschutz.html (zuletzt abgerufen am 09.03.2022).</w:t>
      </w:r>
    </w:p>
  </w:footnote>
  <w:footnote w:id="21">
    <w:p w14:paraId="1E643653" w14:textId="52B7B69B" w:rsidR="0076137D" w:rsidRPr="00C77207" w:rsidRDefault="0076137D">
      <w:pPr>
        <w:pStyle w:val="FootnoteText"/>
        <w:rPr>
          <w:szCs w:val="20"/>
          <w:lang w:val="de-DE"/>
        </w:rPr>
      </w:pPr>
      <w:r w:rsidRPr="00C77207">
        <w:rPr>
          <w:rStyle w:val="FootnoteReference"/>
          <w:szCs w:val="20"/>
        </w:rPr>
        <w:footnoteRef/>
      </w:r>
      <w:r w:rsidRPr="00C77207">
        <w:rPr>
          <w:szCs w:val="20"/>
          <w:lang w:val="de-DE"/>
        </w:rPr>
        <w:t xml:space="preserve"> Kriterien des GSTCs einsehbar unter URL: https://www.gstcouncil.org/gstc-criteria/gstc-destination-criteria/ (zuletzt abgerufen am 09.03.2022).</w:t>
      </w:r>
    </w:p>
  </w:footnote>
  <w:footnote w:id="22">
    <w:p w14:paraId="2A6F37FB" w14:textId="7B2DC7C6" w:rsidR="0076137D" w:rsidRPr="00C77207" w:rsidRDefault="0076137D">
      <w:pPr>
        <w:pStyle w:val="FootnoteText"/>
        <w:rPr>
          <w:szCs w:val="20"/>
          <w:lang w:val="de-DE"/>
        </w:rPr>
      </w:pPr>
      <w:r w:rsidRPr="00C77207">
        <w:rPr>
          <w:rStyle w:val="FootnoteReference"/>
          <w:szCs w:val="20"/>
        </w:rPr>
        <w:footnoteRef/>
      </w:r>
      <w:r w:rsidRPr="00C77207">
        <w:rPr>
          <w:szCs w:val="20"/>
          <w:lang w:val="de-DE"/>
        </w:rPr>
        <w:t xml:space="preserve"> Auch hieran beteiligt sich ECPAT, s. URL: https://ecpat.de/fortbildungen-termine/ (zuletzt abgerufen am 09.03.2022).</w:t>
      </w:r>
    </w:p>
  </w:footnote>
  <w:footnote w:id="23">
    <w:p w14:paraId="0BCFF311" w14:textId="35E2DD46" w:rsidR="0076137D" w:rsidRPr="00C77207" w:rsidRDefault="0076137D">
      <w:pPr>
        <w:pStyle w:val="FootnoteText"/>
        <w:rPr>
          <w:szCs w:val="20"/>
          <w:lang w:val="de-DE"/>
        </w:rPr>
      </w:pPr>
      <w:r w:rsidRPr="00C77207">
        <w:rPr>
          <w:rStyle w:val="FootnoteReference"/>
          <w:szCs w:val="20"/>
        </w:rPr>
        <w:footnoteRef/>
      </w:r>
      <w:r w:rsidRPr="00C77207">
        <w:rPr>
          <w:szCs w:val="20"/>
          <w:lang w:val="de-DE"/>
        </w:rPr>
        <w:t xml:space="preserve"> </w:t>
      </w:r>
      <w:r w:rsidRPr="00C77207">
        <w:rPr>
          <w:i/>
          <w:szCs w:val="20"/>
          <w:lang w:val="de-DE"/>
        </w:rPr>
        <w:t xml:space="preserve">Ziegler, </w:t>
      </w:r>
      <w:r w:rsidRPr="00C77207">
        <w:rPr>
          <w:szCs w:val="20"/>
          <w:lang w:val="de-DE"/>
        </w:rPr>
        <w:t>in: Heintschel-Heinegg (Hrsg.), BeckOK StGB, 52.Edition 01.02.2022, § 176b vor Rn. 1.</w:t>
      </w:r>
    </w:p>
  </w:footnote>
  <w:footnote w:id="24">
    <w:p w14:paraId="597925B5" w14:textId="67712D1B" w:rsidR="0076137D" w:rsidRPr="00C77207" w:rsidRDefault="0076137D">
      <w:pPr>
        <w:pStyle w:val="FootnoteText"/>
        <w:rPr>
          <w:szCs w:val="20"/>
          <w:lang w:val="de-DE"/>
        </w:rPr>
      </w:pPr>
      <w:r w:rsidRPr="00C77207">
        <w:rPr>
          <w:rStyle w:val="FootnoteReference"/>
          <w:szCs w:val="20"/>
        </w:rPr>
        <w:footnoteRef/>
      </w:r>
      <w:r w:rsidRPr="00C77207">
        <w:rPr>
          <w:szCs w:val="20"/>
          <w:lang w:val="de-DE"/>
        </w:rPr>
        <w:t xml:space="preserve"> </w:t>
      </w:r>
      <w:r w:rsidRPr="00C77207">
        <w:rPr>
          <w:i/>
          <w:szCs w:val="20"/>
          <w:lang w:val="de-DE"/>
        </w:rPr>
        <w:t xml:space="preserve">Wiesner, </w:t>
      </w:r>
      <w:r w:rsidRPr="00C77207">
        <w:rPr>
          <w:szCs w:val="20"/>
          <w:lang w:val="de-DE"/>
        </w:rPr>
        <w:t>in: ders./Wapler (Hrsg.), SGB VIII, 6. Aufl. 2022, § 72a Rn. 24.</w:t>
      </w:r>
    </w:p>
  </w:footnote>
  <w:footnote w:id="25">
    <w:p w14:paraId="0B46D213" w14:textId="1AC5C87F" w:rsidR="0076137D" w:rsidRPr="00C77207" w:rsidRDefault="0076137D">
      <w:pPr>
        <w:pStyle w:val="FootnoteText"/>
        <w:rPr>
          <w:szCs w:val="20"/>
          <w:lang w:val="de-DE"/>
        </w:rPr>
      </w:pPr>
      <w:r w:rsidRPr="00C77207">
        <w:rPr>
          <w:rStyle w:val="FootnoteReference"/>
          <w:szCs w:val="20"/>
        </w:rPr>
        <w:footnoteRef/>
      </w:r>
      <w:r w:rsidRPr="00C77207">
        <w:rPr>
          <w:szCs w:val="20"/>
          <w:lang w:val="de-DE"/>
        </w:rPr>
        <w:t xml:space="preserve"> </w:t>
      </w:r>
      <w:r w:rsidRPr="00C77207">
        <w:rPr>
          <w:i/>
          <w:szCs w:val="20"/>
          <w:lang w:val="de-DE"/>
        </w:rPr>
        <w:t>Wiesner</w:t>
      </w:r>
      <w:r w:rsidRPr="00C77207">
        <w:rPr>
          <w:szCs w:val="20"/>
          <w:lang w:val="de-DE"/>
        </w:rPr>
        <w:t xml:space="preserve">, </w:t>
      </w:r>
      <w:r w:rsidRPr="00C77207">
        <w:rPr>
          <w:szCs w:val="20"/>
          <w:lang w:val="de-DE"/>
        </w:rPr>
        <w:t>in: ders./Wapler (Hrsg.), SGB VIII, 6. Aufl. 2022, § 72a Rn. 28.</w:t>
      </w:r>
    </w:p>
  </w:footnote>
  <w:footnote w:id="26">
    <w:p w14:paraId="511E7D4D" w14:textId="7BF5925C" w:rsidR="0076137D" w:rsidRPr="00C77207" w:rsidRDefault="0076137D">
      <w:pPr>
        <w:pStyle w:val="FootnoteText"/>
        <w:rPr>
          <w:szCs w:val="20"/>
          <w:lang w:val="de-DE"/>
        </w:rPr>
      </w:pPr>
      <w:r w:rsidRPr="00C77207">
        <w:rPr>
          <w:rStyle w:val="FootnoteReference"/>
          <w:szCs w:val="20"/>
        </w:rPr>
        <w:footnoteRef/>
      </w:r>
      <w:r w:rsidRPr="00C77207">
        <w:rPr>
          <w:szCs w:val="20"/>
          <w:lang w:val="de-DE"/>
        </w:rPr>
        <w:t xml:space="preserve"> RegBegr </w:t>
      </w:r>
      <w:r w:rsidRPr="00C77207">
        <w:rPr>
          <w:szCs w:val="20"/>
          <w:lang w:val="de-DE"/>
        </w:rPr>
        <w:t xml:space="preserve">BT-Drs. 17/6256 S. 25; </w:t>
      </w:r>
      <w:r w:rsidRPr="00C77207">
        <w:rPr>
          <w:i/>
          <w:szCs w:val="20"/>
          <w:lang w:val="de-DE"/>
        </w:rPr>
        <w:t xml:space="preserve">Wiesner, </w:t>
      </w:r>
      <w:r w:rsidRPr="00C77207">
        <w:rPr>
          <w:szCs w:val="20"/>
          <w:lang w:val="de-DE"/>
        </w:rPr>
        <w:t>in: ders./Wapler (Hrsg.), SGB VIII, 6. Aufl. 2022, § 72a Rn. 34.</w:t>
      </w:r>
    </w:p>
  </w:footnote>
  <w:footnote w:id="27">
    <w:p w14:paraId="079AB9E7" w14:textId="21851629" w:rsidR="0076137D" w:rsidRPr="00C77207" w:rsidRDefault="0076137D">
      <w:pPr>
        <w:pStyle w:val="FootnoteText"/>
        <w:rPr>
          <w:szCs w:val="20"/>
          <w:lang w:val="de-DE"/>
        </w:rPr>
      </w:pPr>
      <w:r w:rsidRPr="00C77207">
        <w:rPr>
          <w:rStyle w:val="FootnoteReference"/>
          <w:szCs w:val="20"/>
        </w:rPr>
        <w:footnoteRef/>
      </w:r>
      <w:r w:rsidRPr="00C77207">
        <w:rPr>
          <w:szCs w:val="20"/>
          <w:lang w:val="de-DE"/>
        </w:rPr>
        <w:t xml:space="preserve"> </w:t>
      </w:r>
      <w:r w:rsidRPr="00C77207">
        <w:rPr>
          <w:rFonts w:ascii="Calibri" w:hAnsi="Calibri" w:cs="Calibri"/>
          <w:szCs w:val="20"/>
          <w:lang w:val="de-DE"/>
        </w:rPr>
        <w:t>Förderleitlinie weltwärts unter URL https://www.weltwaerts.de/files/media/dokumente_dc/de/Organisationen/Nord-Sued-Komponente/Foerderleitlinie_weltwaerts_Freiwilligendienst.pdf (zuletzt abgerufen am 03.02.2022).</w:t>
      </w:r>
    </w:p>
  </w:footnote>
  <w:footnote w:id="28">
    <w:p w14:paraId="7088BAA6" w14:textId="15274231" w:rsidR="0076137D" w:rsidRPr="00C77207" w:rsidRDefault="0076137D" w:rsidP="008663E5">
      <w:pPr>
        <w:rPr>
          <w:rFonts w:ascii="Calibri" w:hAnsi="Calibri" w:cs="Calibri"/>
          <w:sz w:val="20"/>
          <w:szCs w:val="20"/>
          <w:highlight w:val="yellow"/>
          <w:lang w:val="de-DE"/>
        </w:rPr>
      </w:pPr>
      <w:r w:rsidRPr="00C77207">
        <w:rPr>
          <w:rStyle w:val="FootnoteReference"/>
          <w:sz w:val="20"/>
          <w:szCs w:val="20"/>
        </w:rPr>
        <w:footnoteRef/>
      </w:r>
      <w:r w:rsidRPr="00C77207">
        <w:rPr>
          <w:sz w:val="20"/>
          <w:szCs w:val="20"/>
          <w:lang w:val="de-DE"/>
        </w:rPr>
        <w:t xml:space="preserve"> </w:t>
      </w:r>
      <w:r w:rsidRPr="00C77207">
        <w:rPr>
          <w:rFonts w:ascii="Calibri" w:hAnsi="Calibri" w:cs="Calibri"/>
          <w:sz w:val="20"/>
          <w:szCs w:val="20"/>
          <w:lang w:val="de-DE"/>
        </w:rPr>
        <w:t>Ratifikationsstand CRC unter URL: https://www.institut-fuer-menschenrechte.de/menschenrechtsschutz/deutschland-im-menschenrechtsschutzsystem/vereinte-nationen/vereinte-nationen-menschenrechtsabkommen/umsetzung-crc-in-deutschland (zuletzt abgerufen am 03.02.2022).</w:t>
      </w:r>
    </w:p>
  </w:footnote>
  <w:footnote w:id="29">
    <w:p w14:paraId="1A2ABD6D" w14:textId="512E1BCC" w:rsidR="0076137D" w:rsidRPr="00C77207" w:rsidRDefault="0076137D">
      <w:pPr>
        <w:pStyle w:val="FootnoteText"/>
        <w:rPr>
          <w:szCs w:val="20"/>
          <w:lang w:val="de-DE"/>
        </w:rPr>
      </w:pPr>
      <w:r w:rsidRPr="00C77207">
        <w:rPr>
          <w:rStyle w:val="FootnoteReference"/>
          <w:szCs w:val="20"/>
        </w:rPr>
        <w:footnoteRef/>
      </w:r>
      <w:r w:rsidRPr="00C77207">
        <w:rPr>
          <w:szCs w:val="20"/>
          <w:lang w:val="de-DE"/>
        </w:rPr>
        <w:t xml:space="preserve"> Ratifikationsstand OPSC unter URL: https://treaties.un.org/Pages/ViewDetails.aspx?src=TREATY&amp;mtdsg_no=IV-11-c&amp;chapter=4&amp;clang=_en (zuletzt abgerufen am 21.03.2022).</w:t>
      </w:r>
    </w:p>
  </w:footnote>
  <w:footnote w:id="30">
    <w:p w14:paraId="454BCA39" w14:textId="4FD4E65A" w:rsidR="0076137D" w:rsidRPr="00C77207" w:rsidRDefault="0076137D">
      <w:pPr>
        <w:pStyle w:val="FootnoteText"/>
        <w:rPr>
          <w:szCs w:val="20"/>
          <w:lang w:val="de-DE"/>
        </w:rPr>
      </w:pPr>
      <w:r w:rsidRPr="00C77207">
        <w:rPr>
          <w:rStyle w:val="FootnoteReference"/>
          <w:szCs w:val="20"/>
        </w:rPr>
        <w:footnoteRef/>
      </w:r>
      <w:r w:rsidRPr="00C77207">
        <w:rPr>
          <w:szCs w:val="20"/>
          <w:lang w:val="de-DE"/>
        </w:rPr>
        <w:t xml:space="preserve"> Ratifikationsstand unter URL: https://treaties.un.org/Pages/ViewDetails.aspx?src=TREATY&amp;mtdsg_no=IV-11-d&amp;chapter=4&amp;clang=_en (zuletzt abgerufen am 21.03.2022).</w:t>
      </w:r>
    </w:p>
  </w:footnote>
  <w:footnote w:id="31">
    <w:p w14:paraId="44FDB63E" w14:textId="45BC3F16" w:rsidR="0076137D" w:rsidRPr="00C77207" w:rsidRDefault="0076137D" w:rsidP="00AF4776">
      <w:pPr>
        <w:rPr>
          <w:rFonts w:ascii="Calibri" w:hAnsi="Calibri" w:cs="Calibri"/>
          <w:sz w:val="20"/>
          <w:szCs w:val="20"/>
          <w:highlight w:val="yellow"/>
          <w:lang w:val="de-DE"/>
        </w:rPr>
      </w:pPr>
      <w:r w:rsidRPr="00C77207">
        <w:rPr>
          <w:rStyle w:val="FootnoteReference"/>
          <w:sz w:val="20"/>
          <w:szCs w:val="20"/>
        </w:rPr>
        <w:footnoteRef/>
      </w:r>
      <w:r w:rsidRPr="00C77207">
        <w:rPr>
          <w:sz w:val="20"/>
          <w:szCs w:val="20"/>
          <w:lang w:val="de-DE"/>
        </w:rPr>
        <w:t xml:space="preserve"> </w:t>
      </w:r>
      <w:r w:rsidRPr="00C77207">
        <w:rPr>
          <w:rFonts w:ascii="Calibri" w:hAnsi="Calibri" w:cs="Calibri"/>
          <w:sz w:val="20"/>
          <w:szCs w:val="20"/>
          <w:lang w:val="de-DE"/>
        </w:rPr>
        <w:t>BGBl. 2005 II Nr. 21, S. 954, URL: https://www.bgbl.de/xaver/bgbl/start.xav?startbk=Bundesanzeiger_BGBl&amp;jumpTo=bgbl205s0954.pdf#__bgbl__%2F%2F*%5B%40attr_id%3D%27bgbl205s0954.pdf%27%5D__1643895673658 (zuletzt abgerufen am 03.02.2022).</w:t>
      </w:r>
    </w:p>
  </w:footnote>
  <w:footnote w:id="32">
    <w:p w14:paraId="6FC5E4ED" w14:textId="1A2712FD" w:rsidR="0076137D" w:rsidRPr="00C77207" w:rsidRDefault="0076137D">
      <w:pPr>
        <w:pStyle w:val="FootnoteText"/>
        <w:rPr>
          <w:szCs w:val="20"/>
          <w:lang w:val="de-DE"/>
        </w:rPr>
      </w:pPr>
      <w:r w:rsidRPr="00C77207">
        <w:rPr>
          <w:rStyle w:val="FootnoteReference"/>
          <w:szCs w:val="20"/>
        </w:rPr>
        <w:footnoteRef/>
      </w:r>
      <w:r w:rsidRPr="00C77207">
        <w:rPr>
          <w:szCs w:val="20"/>
          <w:lang w:val="de-DE"/>
        </w:rPr>
        <w:t xml:space="preserve"> </w:t>
      </w:r>
      <w:r w:rsidRPr="00C77207">
        <w:rPr>
          <w:rStyle w:val="reference-text"/>
          <w:szCs w:val="20"/>
          <w:lang w:val="de-DE"/>
        </w:rPr>
        <w:t>BGBl. 2005 II Nr. 21, S. 954, 995, URL: https://www.bgbl.de/xaver/bgbl/start.xav?startbk=Bundesanzeiger_BGBl&amp;jumpTo=bgbl205s0954.pdf#__bgbl__%2F%2F*%5B%40attr_id%3D%27bgbl205s0954.pdf%27%5D__1647897598768 (zuletzt abgerufen am 21.03.2022).</w:t>
      </w:r>
    </w:p>
  </w:footnote>
  <w:footnote w:id="33">
    <w:p w14:paraId="67DD95ED" w14:textId="26336028" w:rsidR="0076137D" w:rsidRPr="00C77207" w:rsidRDefault="0076137D" w:rsidP="00AF4776">
      <w:pPr>
        <w:rPr>
          <w:rFonts w:ascii="Calibri" w:hAnsi="Calibri" w:cs="Calibri"/>
          <w:sz w:val="20"/>
          <w:szCs w:val="20"/>
          <w:highlight w:val="yellow"/>
          <w:lang w:val="de-DE"/>
        </w:rPr>
      </w:pPr>
      <w:r w:rsidRPr="00C77207">
        <w:rPr>
          <w:rStyle w:val="FootnoteReference"/>
          <w:sz w:val="20"/>
          <w:szCs w:val="20"/>
        </w:rPr>
        <w:footnoteRef/>
      </w:r>
      <w:r w:rsidRPr="00C77207">
        <w:rPr>
          <w:sz w:val="20"/>
          <w:szCs w:val="20"/>
          <w:lang w:val="de-DE"/>
        </w:rPr>
        <w:t xml:space="preserve"> </w:t>
      </w:r>
      <w:r w:rsidRPr="00C77207">
        <w:rPr>
          <w:rFonts w:ascii="Calibri" w:hAnsi="Calibri" w:cs="Calibri"/>
          <w:sz w:val="20"/>
          <w:szCs w:val="20"/>
          <w:lang w:val="de-DE"/>
        </w:rPr>
        <w:t>Bundesgesetzblatt Jahrgang 2001 Teil II Nr. 37 des Übereinkommens Nr. 182 der Internationalen Arbeitsorganisation (ILO), URL: https://www.bgbl.de/xaver/bgbl/start.xav?start=%2F%2F*%5B%40attr_id%3D%27bgbl201s1290.pdf%27%5D#__bgbl__%2F%2F*%5B%40attr_id%3D%27bgbl201s1290.pdf%27%5D__1643896353526 (zuletzt abgerufen am 03.02.2022).</w:t>
      </w:r>
    </w:p>
  </w:footnote>
  <w:footnote w:id="34">
    <w:p w14:paraId="4E6E4B4E" w14:textId="1BFCA0EC" w:rsidR="0076137D" w:rsidRPr="00C77207" w:rsidRDefault="0076137D" w:rsidP="00AF4776">
      <w:pPr>
        <w:rPr>
          <w:rFonts w:ascii="Calibri" w:hAnsi="Calibri" w:cs="Calibri"/>
          <w:sz w:val="20"/>
          <w:szCs w:val="20"/>
          <w:highlight w:val="yellow"/>
          <w:lang w:val="de-DE"/>
        </w:rPr>
      </w:pPr>
      <w:r w:rsidRPr="00C77207">
        <w:rPr>
          <w:rStyle w:val="FootnoteReference"/>
          <w:sz w:val="20"/>
          <w:szCs w:val="20"/>
        </w:rPr>
        <w:footnoteRef/>
      </w:r>
      <w:r w:rsidRPr="00C77207">
        <w:rPr>
          <w:sz w:val="20"/>
          <w:szCs w:val="20"/>
          <w:lang w:val="de-DE"/>
        </w:rPr>
        <w:t xml:space="preserve"> </w:t>
      </w:r>
      <w:r w:rsidRPr="00C77207">
        <w:rPr>
          <w:rFonts w:ascii="Calibri" w:hAnsi="Calibri" w:cs="Calibri"/>
          <w:sz w:val="20"/>
          <w:szCs w:val="20"/>
          <w:lang w:val="de-DE"/>
        </w:rPr>
        <w:t>Ratifikationsstand des Übereinkommens des Europarats zum Schutz von Kindern vor sexueller Ausbeutung und sexuellem Missbrauch (Lanzarote-Konvention), URL: https://www.coe.int/en/web/conventions/full-list?module=signatures-by-treaty&amp;treatynum=201 (zuletzt abgerufen am 03.02.2022).</w:t>
      </w:r>
    </w:p>
  </w:footnote>
  <w:footnote w:id="35">
    <w:p w14:paraId="58B13EE2" w14:textId="48A4F1E7" w:rsidR="0076137D" w:rsidRPr="00C77207" w:rsidRDefault="0076137D" w:rsidP="004548D9">
      <w:pPr>
        <w:rPr>
          <w:rFonts w:ascii="Calibri" w:hAnsi="Calibri" w:cs="Calibri"/>
          <w:sz w:val="20"/>
          <w:szCs w:val="20"/>
          <w:highlight w:val="yellow"/>
          <w:lang w:val="de-DE"/>
        </w:rPr>
      </w:pPr>
      <w:r w:rsidRPr="00C77207">
        <w:rPr>
          <w:rStyle w:val="FootnoteReference"/>
          <w:sz w:val="20"/>
          <w:szCs w:val="20"/>
        </w:rPr>
        <w:footnoteRef/>
      </w:r>
      <w:r w:rsidRPr="00C77207">
        <w:rPr>
          <w:sz w:val="20"/>
          <w:szCs w:val="20"/>
          <w:lang w:val="de-DE"/>
        </w:rPr>
        <w:t xml:space="preserve"> </w:t>
      </w:r>
      <w:r w:rsidRPr="00C77207">
        <w:rPr>
          <w:rFonts w:ascii="Calibri" w:hAnsi="Calibri" w:cs="Calibri"/>
          <w:sz w:val="20"/>
          <w:szCs w:val="20"/>
          <w:lang w:val="de-DE"/>
        </w:rPr>
        <w:t>Vorbehalte Deutschland zur Lanzarote-Konvention, URL: https://www.coe.int/en/web/conventions/full-list?module=declarations-by-treaty&amp;numSte=201&amp;codeNature=2&amp;codePays=GER (zuletzt abgerufen am 03.02.2022).</w:t>
      </w:r>
    </w:p>
  </w:footnote>
  <w:footnote w:id="36">
    <w:p w14:paraId="6542C928" w14:textId="7FD22904" w:rsidR="0076137D" w:rsidRPr="00C77207" w:rsidRDefault="0076137D">
      <w:pPr>
        <w:pStyle w:val="FootnoteText"/>
        <w:rPr>
          <w:szCs w:val="20"/>
          <w:lang w:val="de-DE"/>
        </w:rPr>
      </w:pPr>
      <w:r w:rsidRPr="00C77207">
        <w:rPr>
          <w:rStyle w:val="FootnoteReference"/>
          <w:szCs w:val="20"/>
        </w:rPr>
        <w:footnoteRef/>
      </w:r>
      <w:r w:rsidRPr="00C77207">
        <w:rPr>
          <w:szCs w:val="20"/>
          <w:lang w:val="de-DE"/>
        </w:rPr>
        <w:t xml:space="preserve"> </w:t>
      </w:r>
      <w:r w:rsidRPr="00C77207">
        <w:rPr>
          <w:rFonts w:ascii="Calibri" w:hAnsi="Calibri" w:cs="Calibri"/>
          <w:szCs w:val="20"/>
          <w:lang w:val="de-DE"/>
        </w:rPr>
        <w:t>Ratifikationsstand der Budapest-Konvention, URL: https://www.coe.int/de/web/conventions/full-list?module=signatures-by-treaty&amp;treatynum=185 (zuletzt abgerufen am 03.02.2022).</w:t>
      </w:r>
    </w:p>
  </w:footnote>
  <w:footnote w:id="37">
    <w:p w14:paraId="031F3BAA" w14:textId="024CE56A" w:rsidR="0076137D" w:rsidRPr="00C77207" w:rsidRDefault="0076137D">
      <w:pPr>
        <w:pStyle w:val="FootnoteText"/>
        <w:rPr>
          <w:szCs w:val="20"/>
          <w:lang w:val="de-DE"/>
        </w:rPr>
      </w:pPr>
      <w:r w:rsidRPr="00C77207">
        <w:rPr>
          <w:rStyle w:val="FootnoteReference"/>
          <w:szCs w:val="20"/>
        </w:rPr>
        <w:footnoteRef/>
      </w:r>
      <w:r w:rsidRPr="00C77207">
        <w:rPr>
          <w:szCs w:val="20"/>
          <w:lang w:val="de-DE"/>
        </w:rPr>
        <w:t xml:space="preserve"> Ratifikationsstand des Rahmenübereinkommens zur Tourismusethik, URL: https://www.unwto.org/unwto-framework-convention-on-tourism-ethics (zuletzt abgerufen am 03.02.2022).</w:t>
      </w:r>
    </w:p>
  </w:footnote>
  <w:footnote w:id="38">
    <w:p w14:paraId="32275F5D" w14:textId="33539CB9" w:rsidR="0076137D" w:rsidRPr="00C77207" w:rsidRDefault="0076137D">
      <w:pPr>
        <w:pStyle w:val="FootnoteText"/>
        <w:rPr>
          <w:szCs w:val="20"/>
          <w:lang w:val="de-DE"/>
        </w:rPr>
      </w:pPr>
      <w:r w:rsidRPr="00C77207">
        <w:rPr>
          <w:rStyle w:val="FootnoteReference"/>
          <w:szCs w:val="20"/>
        </w:rPr>
        <w:footnoteRef/>
      </w:r>
      <w:r w:rsidRPr="00C77207">
        <w:rPr>
          <w:szCs w:val="20"/>
          <w:lang w:val="de-DE"/>
        </w:rPr>
        <w:t xml:space="preserve"> </w:t>
      </w:r>
      <w:r w:rsidRPr="00C77207">
        <w:rPr>
          <w:rFonts w:ascii="Calibri" w:hAnsi="Calibri" w:cs="Calibri"/>
          <w:szCs w:val="20"/>
          <w:lang w:val="de-DE"/>
        </w:rPr>
        <w:t>Handreichung des Bundesjustizministeriums, URL: https://docplayer.org/20053786-Bundesministerium-der-justiz-bundeseinheitliche-handreichung-zum-schutz-kindlicher-opfer-zeugen-im-strafverfahren.html (zuletzt abgerufen am 03.02.2022).</w:t>
      </w:r>
    </w:p>
  </w:footnote>
  <w:footnote w:id="39">
    <w:p w14:paraId="34C672D7" w14:textId="29FE1A4F" w:rsidR="0076137D" w:rsidRPr="00C77207" w:rsidRDefault="0076137D">
      <w:pPr>
        <w:pStyle w:val="FootnoteText"/>
        <w:rPr>
          <w:szCs w:val="20"/>
          <w:lang w:val="de-DE"/>
        </w:rPr>
      </w:pPr>
      <w:r w:rsidRPr="00C77207">
        <w:rPr>
          <w:rStyle w:val="FootnoteReference"/>
          <w:szCs w:val="20"/>
        </w:rPr>
        <w:footnoteRef/>
      </w:r>
      <w:r w:rsidRPr="00C77207">
        <w:rPr>
          <w:szCs w:val="20"/>
          <w:lang w:val="de-DE"/>
        </w:rPr>
        <w:t xml:space="preserve"> Abrufbar unter URL: https://www.nationaler-rat.de/downloads/Praxisleitfaden_kindgerechte_Kriterien_Strafverfahren.pdf (zuletzt abgerufen: 08.03.2022).</w:t>
      </w:r>
    </w:p>
  </w:footnote>
  <w:footnote w:id="40">
    <w:p w14:paraId="5C7D83BA" w14:textId="4FA5EBDE" w:rsidR="0076137D" w:rsidRPr="00C77207" w:rsidRDefault="0076137D">
      <w:pPr>
        <w:pStyle w:val="FootnoteText"/>
        <w:rPr>
          <w:szCs w:val="20"/>
          <w:lang w:val="de-DE"/>
        </w:rPr>
      </w:pPr>
      <w:r w:rsidRPr="00C77207">
        <w:rPr>
          <w:rStyle w:val="FootnoteReference"/>
          <w:szCs w:val="20"/>
        </w:rPr>
        <w:footnoteRef/>
      </w:r>
      <w:r w:rsidRPr="00C77207">
        <w:rPr>
          <w:szCs w:val="20"/>
          <w:lang w:val="de-DE"/>
        </w:rPr>
        <w:t xml:space="preserve"> Siehe z.B. Hochschule für Polizei Baden-Württemberg, Leitfaden zur strukturierten Anhörung von Kindern im forensischen Kontext, URL: https://serwiss.bib.hs-hannover.de/frontdoor/deliver/index/docId/589/file/Strukturierte_Anh%c3%b6rung_Kinder_forensischer_Kontext_mit_Karten.pdf (zuletzt abgerufen</w:t>
      </w:r>
      <w:r>
        <w:rPr>
          <w:szCs w:val="20"/>
          <w:lang w:val="de-DE"/>
        </w:rPr>
        <w:t xml:space="preserve"> am </w:t>
      </w:r>
      <w:r w:rsidRPr="00C77207">
        <w:rPr>
          <w:szCs w:val="20"/>
          <w:lang w:val="de-DE"/>
        </w:rPr>
        <w:t>08.03.2022).</w:t>
      </w:r>
    </w:p>
  </w:footnote>
  <w:footnote w:id="41">
    <w:p w14:paraId="7366ACA1" w14:textId="40DF0EEA" w:rsidR="0076137D" w:rsidRPr="00C77207" w:rsidRDefault="0076137D" w:rsidP="00E47C10">
      <w:pPr>
        <w:pStyle w:val="FootnoteText"/>
        <w:rPr>
          <w:szCs w:val="20"/>
          <w:lang w:val="de-DE"/>
        </w:rPr>
      </w:pPr>
      <w:r w:rsidRPr="00C77207">
        <w:rPr>
          <w:rStyle w:val="FootnoteReference"/>
          <w:szCs w:val="20"/>
        </w:rPr>
        <w:footnoteRef/>
      </w:r>
      <w:r w:rsidRPr="00C77207">
        <w:rPr>
          <w:szCs w:val="20"/>
          <w:lang w:val="de-DE"/>
        </w:rPr>
        <w:t xml:space="preserve"> Genauere Informationen unter URL: https://www.childhood-haus.de/darum-geht-es/# (zuletzt abgerufen am 09.03.2022).</w:t>
      </w:r>
    </w:p>
  </w:footnote>
  <w:footnote w:id="42">
    <w:p w14:paraId="06E4F097" w14:textId="62D663F2" w:rsidR="0076137D" w:rsidRPr="00C77207" w:rsidRDefault="0076137D">
      <w:pPr>
        <w:pStyle w:val="FootnoteText"/>
        <w:rPr>
          <w:szCs w:val="20"/>
          <w:lang w:val="de-DE"/>
        </w:rPr>
      </w:pPr>
      <w:r w:rsidRPr="00C77207">
        <w:rPr>
          <w:rStyle w:val="FootnoteReference"/>
          <w:szCs w:val="20"/>
        </w:rPr>
        <w:footnoteRef/>
      </w:r>
      <w:r w:rsidRPr="00C77207">
        <w:rPr>
          <w:szCs w:val="20"/>
          <w:lang w:val="de-DE"/>
        </w:rPr>
        <w:t xml:space="preserve"> </w:t>
      </w:r>
      <w:r w:rsidRPr="00C77207">
        <w:rPr>
          <w:szCs w:val="20"/>
          <w:lang w:val="de-DE"/>
        </w:rPr>
        <w:t xml:space="preserve">BT-Drs. 13/7165 S. 7; </w:t>
      </w:r>
      <w:r w:rsidRPr="00C77207">
        <w:rPr>
          <w:i/>
          <w:szCs w:val="20"/>
          <w:lang w:val="de-DE"/>
        </w:rPr>
        <w:t xml:space="preserve">Bader, </w:t>
      </w:r>
      <w:r w:rsidRPr="00C77207">
        <w:rPr>
          <w:szCs w:val="20"/>
          <w:lang w:val="de-DE"/>
        </w:rPr>
        <w:t>in: KK-StPO, 8. Aufl. 2019, § 58a Rn. 1.</w:t>
      </w:r>
    </w:p>
  </w:footnote>
  <w:footnote w:id="43">
    <w:p w14:paraId="665F02C7" w14:textId="2644F8CC" w:rsidR="0076137D" w:rsidRPr="00C77207" w:rsidRDefault="0076137D">
      <w:pPr>
        <w:pStyle w:val="FootnoteText"/>
        <w:rPr>
          <w:szCs w:val="20"/>
          <w:lang w:val="de-DE"/>
        </w:rPr>
      </w:pPr>
      <w:r w:rsidRPr="00C77207">
        <w:rPr>
          <w:rStyle w:val="FootnoteReference"/>
          <w:szCs w:val="20"/>
        </w:rPr>
        <w:footnoteRef/>
      </w:r>
      <w:r w:rsidRPr="00C77207">
        <w:rPr>
          <w:szCs w:val="20"/>
          <w:lang w:val="de-DE"/>
        </w:rPr>
        <w:t xml:space="preserve"> </w:t>
      </w:r>
      <w:r w:rsidRPr="00C77207">
        <w:rPr>
          <w:i/>
          <w:szCs w:val="20"/>
          <w:lang w:val="de-DE"/>
        </w:rPr>
        <w:t xml:space="preserve">Gaede, </w:t>
      </w:r>
      <w:r w:rsidRPr="00C77207">
        <w:rPr>
          <w:szCs w:val="20"/>
          <w:lang w:val="de-DE"/>
        </w:rPr>
        <w:t>in: MüKoStPO, 1. Aufl. 2016, § 241a Rn. 1.</w:t>
      </w:r>
    </w:p>
  </w:footnote>
  <w:footnote w:id="44">
    <w:p w14:paraId="1E942C74" w14:textId="169DDC71" w:rsidR="0076137D" w:rsidRPr="00C77207" w:rsidRDefault="0076137D">
      <w:pPr>
        <w:pStyle w:val="FootnoteText"/>
        <w:rPr>
          <w:szCs w:val="20"/>
          <w:lang w:val="de-DE"/>
        </w:rPr>
      </w:pPr>
      <w:r w:rsidRPr="00C77207">
        <w:rPr>
          <w:rStyle w:val="FootnoteReference"/>
          <w:szCs w:val="20"/>
        </w:rPr>
        <w:footnoteRef/>
      </w:r>
      <w:r w:rsidRPr="00C77207">
        <w:rPr>
          <w:szCs w:val="20"/>
          <w:lang w:val="de-DE"/>
        </w:rPr>
        <w:t xml:space="preserve"> </w:t>
      </w:r>
      <w:r w:rsidRPr="00C77207">
        <w:rPr>
          <w:i/>
          <w:szCs w:val="20"/>
          <w:lang w:val="de-DE"/>
        </w:rPr>
        <w:t xml:space="preserve">Grau, </w:t>
      </w:r>
      <w:r w:rsidRPr="00C77207">
        <w:rPr>
          <w:szCs w:val="20"/>
          <w:lang w:val="de-DE"/>
        </w:rPr>
        <w:t>in: MüKoStPO, 1. Aufl. 2019, § 406g.</w:t>
      </w:r>
    </w:p>
  </w:footnote>
  <w:footnote w:id="45">
    <w:p w14:paraId="357A0F98" w14:textId="411E9891" w:rsidR="0076137D" w:rsidRPr="00C77207" w:rsidRDefault="0076137D">
      <w:pPr>
        <w:pStyle w:val="FootnoteText"/>
        <w:rPr>
          <w:szCs w:val="20"/>
          <w:lang w:val="de-DE"/>
        </w:rPr>
      </w:pPr>
      <w:r w:rsidRPr="00C77207">
        <w:rPr>
          <w:rStyle w:val="FootnoteReference"/>
          <w:szCs w:val="20"/>
        </w:rPr>
        <w:footnoteRef/>
      </w:r>
      <w:r w:rsidRPr="00C77207">
        <w:rPr>
          <w:szCs w:val="20"/>
          <w:lang w:val="de-DE"/>
        </w:rPr>
        <w:t xml:space="preserve"> </w:t>
      </w:r>
      <w:r w:rsidRPr="00C77207">
        <w:rPr>
          <w:i/>
          <w:szCs w:val="20"/>
          <w:lang w:val="de-DE"/>
        </w:rPr>
        <w:t xml:space="preserve">Rademacker, </w:t>
      </w:r>
      <w:r w:rsidRPr="00C77207">
        <w:rPr>
          <w:szCs w:val="20"/>
          <w:lang w:val="de-DE"/>
        </w:rPr>
        <w:t>in: Knickrehm (Hrsg.), Gesamtes Soziales Entschädigungsrecht, 1. Aufl. 2012, OEG § 1 Rn. 43.</w:t>
      </w:r>
    </w:p>
  </w:footnote>
  <w:footnote w:id="46">
    <w:p w14:paraId="112C01FE" w14:textId="58375638" w:rsidR="0076137D" w:rsidRPr="00BD3B0B" w:rsidRDefault="0076137D">
      <w:pPr>
        <w:pStyle w:val="FootnoteText"/>
        <w:rPr>
          <w:lang w:val="de-DE"/>
        </w:rPr>
      </w:pPr>
      <w:r>
        <w:rPr>
          <w:rStyle w:val="FootnoteReference"/>
        </w:rPr>
        <w:footnoteRef/>
      </w:r>
      <w:r w:rsidRPr="00BD3B0B">
        <w:rPr>
          <w:lang w:val="de-DE"/>
        </w:rPr>
        <w:t xml:space="preserve"> </w:t>
      </w:r>
      <w:r>
        <w:rPr>
          <w:lang w:val="de-DE"/>
        </w:rPr>
        <w:t xml:space="preserve">S. Mitteilung des Bundesministeriums für Arbeit und Soziales, URL: </w:t>
      </w:r>
      <w:r w:rsidRPr="001143A7">
        <w:rPr>
          <w:lang w:val="de-DE"/>
        </w:rPr>
        <w:t>https://www.bmas.de/DE/Service/Presse/Meldungen/2020/neue-gesetze-soziales-entschaedigungsrecht.html</w:t>
      </w:r>
      <w:r>
        <w:rPr>
          <w:lang w:val="de-DE"/>
        </w:rPr>
        <w:t xml:space="preserve"> (zuletzt abgerufen am 29.03.2022).</w:t>
      </w:r>
    </w:p>
  </w:footnote>
  <w:footnote w:id="47">
    <w:p w14:paraId="30ADC8CE" w14:textId="1FDB725C" w:rsidR="0076137D" w:rsidRPr="00BD3B0B" w:rsidRDefault="0076137D">
      <w:pPr>
        <w:pStyle w:val="FootnoteText"/>
        <w:rPr>
          <w:lang w:val="de-DE"/>
        </w:rPr>
      </w:pPr>
      <w:r>
        <w:rPr>
          <w:rStyle w:val="FootnoteReference"/>
        </w:rPr>
        <w:footnoteRef/>
      </w:r>
      <w:r w:rsidRPr="00BD3B0B">
        <w:rPr>
          <w:lang w:val="de-DE"/>
        </w:rPr>
        <w:t xml:space="preserve"> URL: https://www.hilfe-portal-missbrauch.de/startseite (z</w:t>
      </w:r>
      <w:r>
        <w:rPr>
          <w:lang w:val="de-DE"/>
        </w:rPr>
        <w:t>uletzt abgerufen am 29.03.2022).</w:t>
      </w:r>
    </w:p>
  </w:footnote>
  <w:footnote w:id="48">
    <w:p w14:paraId="772FBB7F" w14:textId="3ED6F336" w:rsidR="0076137D" w:rsidRPr="004C79E5" w:rsidRDefault="0076137D">
      <w:pPr>
        <w:pStyle w:val="FootnoteText"/>
        <w:rPr>
          <w:lang w:val="de-DE"/>
        </w:rPr>
      </w:pPr>
      <w:r>
        <w:rPr>
          <w:rStyle w:val="FootnoteReference"/>
        </w:rPr>
        <w:footnoteRef/>
      </w:r>
      <w:r w:rsidRPr="004C79E5">
        <w:rPr>
          <w:lang w:val="de-DE"/>
        </w:rPr>
        <w:t xml:space="preserve"> </w:t>
      </w:r>
      <w:r>
        <w:rPr>
          <w:lang w:val="de-DE"/>
        </w:rPr>
        <w:t xml:space="preserve">Siehe z.B. die Kooperationsvereinbarung des Justizministeriums des Landes NRW mit dem Weißen Ring e.V., URL: </w:t>
      </w:r>
      <w:r w:rsidRPr="00BC0F9A">
        <w:rPr>
          <w:lang w:val="de-DE"/>
        </w:rPr>
        <w:t>https://www.justiz.nrw/BS/opferschutz/opferschutzorganisationen/index.php</w:t>
      </w:r>
      <w:r>
        <w:rPr>
          <w:lang w:val="de-DE"/>
        </w:rPr>
        <w:t xml:space="preserve"> (zuletzt abgerufen am 29.03.2022).</w:t>
      </w:r>
    </w:p>
  </w:footnote>
  <w:footnote w:id="49">
    <w:p w14:paraId="3A16AC9B" w14:textId="7059E67D" w:rsidR="006C7EF3" w:rsidRPr="000D54CD" w:rsidRDefault="006C7EF3" w:rsidP="000D54CD">
      <w:pPr>
        <w:pStyle w:val="FootnoteText"/>
        <w:rPr>
          <w:lang w:val="de-DE"/>
        </w:rPr>
      </w:pPr>
      <w:r>
        <w:rPr>
          <w:rStyle w:val="FootnoteReference"/>
        </w:rPr>
        <w:footnoteRef/>
      </w:r>
      <w:r w:rsidRPr="006C7EF3">
        <w:rPr>
          <w:lang w:val="de-DE"/>
        </w:rPr>
        <w:t xml:space="preserve"> </w:t>
      </w:r>
      <w:r>
        <w:rPr>
          <w:lang w:val="de-DE"/>
        </w:rPr>
        <w:t>B</w:t>
      </w:r>
      <w:r w:rsidR="00966EED">
        <w:rPr>
          <w:lang w:val="de-DE"/>
        </w:rPr>
        <w:t xml:space="preserve">undesministerium </w:t>
      </w:r>
      <w:r w:rsidR="000D54CD">
        <w:rPr>
          <w:lang w:val="de-DE"/>
        </w:rPr>
        <w:t xml:space="preserve">für Familie, Senioren, Frauen und Jugend </w:t>
      </w:r>
      <w:r w:rsidR="000D54CD" w:rsidRPr="000D54CD">
        <w:rPr>
          <w:lang w:val="de-DE"/>
        </w:rPr>
        <w:t>Miteinander statt</w:t>
      </w:r>
      <w:r w:rsidR="000D54CD">
        <w:rPr>
          <w:lang w:val="de-DE"/>
        </w:rPr>
        <w:t xml:space="preserve"> </w:t>
      </w:r>
      <w:r w:rsidR="000D54CD" w:rsidRPr="000D54CD">
        <w:rPr>
          <w:lang w:val="de-DE"/>
        </w:rPr>
        <w:t>nebeneinander!</w:t>
      </w:r>
      <w:r w:rsidR="000D54CD">
        <w:rPr>
          <w:lang w:val="de-DE"/>
        </w:rPr>
        <w:t xml:space="preserve"> </w:t>
      </w:r>
      <w:r w:rsidR="000D54CD" w:rsidRPr="000D54CD">
        <w:rPr>
          <w:lang w:val="de-DE"/>
        </w:rPr>
        <w:t>Bundeskooperationskonzept</w:t>
      </w:r>
      <w:r w:rsidR="000D54CD">
        <w:rPr>
          <w:lang w:val="de-DE"/>
        </w:rPr>
        <w:t xml:space="preserve"> </w:t>
      </w:r>
      <w:r w:rsidR="000D54CD" w:rsidRPr="000D54CD">
        <w:rPr>
          <w:lang w:val="de-DE"/>
        </w:rPr>
        <w:t>„Schutz und Hilfen bei Handel mit</w:t>
      </w:r>
      <w:r w:rsidR="000D54CD">
        <w:rPr>
          <w:lang w:val="de-DE"/>
        </w:rPr>
        <w:t xml:space="preserve"> </w:t>
      </w:r>
      <w:r w:rsidR="000D54CD" w:rsidRPr="000D54CD">
        <w:rPr>
          <w:lang w:val="de-DE"/>
        </w:rPr>
        <w:t>und Ausbeutung von Kindern“</w:t>
      </w:r>
      <w:r w:rsidR="000D54CD">
        <w:rPr>
          <w:lang w:val="de-DE"/>
        </w:rPr>
        <w:t xml:space="preserve">, 2018, URL: </w:t>
      </w:r>
      <w:r w:rsidR="000D54CD" w:rsidRPr="000D54CD">
        <w:rPr>
          <w:lang w:val="de-DE"/>
        </w:rPr>
        <w:t>https://www.bmfsfj.de/resource/blob/129878/558a1d7b8973aa96ae9d43f5598abaf1/bundeskooperationskonzept-gegen-menschenhandel-data.pdf</w:t>
      </w:r>
      <w:r w:rsidR="000D54CD">
        <w:rPr>
          <w:lang w:val="de-DE"/>
        </w:rPr>
        <w:t xml:space="preserve"> (zuletzt abgerufen am 09.06.2022).</w:t>
      </w:r>
    </w:p>
  </w:footnote>
  <w:footnote w:id="50">
    <w:p w14:paraId="41CBD3DD" w14:textId="1AA9060C" w:rsidR="0076137D" w:rsidRPr="00C77207" w:rsidRDefault="0076137D">
      <w:pPr>
        <w:pStyle w:val="FootnoteText"/>
        <w:rPr>
          <w:szCs w:val="20"/>
          <w:lang w:val="de-DE"/>
        </w:rPr>
      </w:pPr>
      <w:r w:rsidRPr="00C77207">
        <w:rPr>
          <w:rStyle w:val="FootnoteReference"/>
          <w:szCs w:val="20"/>
        </w:rPr>
        <w:footnoteRef/>
      </w:r>
      <w:r w:rsidRPr="00C77207">
        <w:rPr>
          <w:szCs w:val="20"/>
          <w:lang w:val="de-DE"/>
        </w:rPr>
        <w:t xml:space="preserve"> Auflistung aller Telefon-Hotlines bei Kindesmissbrauch auf der Webseite der Polizei, URL: https://www.polizei-beratung.de/themen-und-tipps/gewalt/kindesmisshandlung/tipps/ (zuletzt abgerufen am 21.03.2022).</w:t>
      </w:r>
    </w:p>
  </w:footnote>
  <w:footnote w:id="51">
    <w:p w14:paraId="5C068C4B" w14:textId="7AA55DC4" w:rsidR="0076137D" w:rsidRPr="00C77207" w:rsidRDefault="0076137D" w:rsidP="0053004D">
      <w:pPr>
        <w:rPr>
          <w:sz w:val="20"/>
          <w:szCs w:val="20"/>
          <w:lang w:val="de-DE"/>
        </w:rPr>
      </w:pPr>
      <w:r w:rsidRPr="00C77207">
        <w:rPr>
          <w:rStyle w:val="FootnoteReference"/>
          <w:sz w:val="20"/>
          <w:szCs w:val="20"/>
        </w:rPr>
        <w:footnoteRef/>
      </w:r>
      <w:r w:rsidRPr="00C77207">
        <w:rPr>
          <w:sz w:val="20"/>
          <w:szCs w:val="20"/>
          <w:lang w:val="de-DE"/>
        </w:rPr>
        <w:t xml:space="preserve"> Webseite des Nummer gegen Kummer e.V., URL: https://www.nummergegenkummer.de/ueber-uns/verein/ (zuletzt abgerufen am 21.03.2022)</w:t>
      </w:r>
      <w:r>
        <w:rPr>
          <w:sz w:val="20"/>
          <w:szCs w:val="20"/>
          <w:lang w:val="de-DE"/>
        </w:rPr>
        <w:t>.</w:t>
      </w:r>
    </w:p>
  </w:footnote>
  <w:footnote w:id="52">
    <w:p w14:paraId="643CE143" w14:textId="6CF5C717" w:rsidR="0076137D" w:rsidRPr="00C77207" w:rsidRDefault="0076137D">
      <w:pPr>
        <w:pStyle w:val="FootnoteText"/>
        <w:rPr>
          <w:szCs w:val="20"/>
          <w:lang w:val="de-DE"/>
        </w:rPr>
      </w:pPr>
      <w:r w:rsidRPr="00C77207">
        <w:rPr>
          <w:rStyle w:val="FootnoteReference"/>
          <w:szCs w:val="20"/>
        </w:rPr>
        <w:footnoteRef/>
      </w:r>
      <w:r w:rsidRPr="00C77207">
        <w:rPr>
          <w:szCs w:val="20"/>
          <w:lang w:val="de-DE"/>
        </w:rPr>
        <w:t xml:space="preserve"> Webseite des Hilfetelefons Gewalt gegen Frauen, URL: https://www.hilfetelefon.de/das-hilfetelefon.html</w:t>
      </w:r>
      <w:r w:rsidRPr="00C77207">
        <w:rPr>
          <w:rStyle w:val="Hyperlink"/>
          <w:color w:val="auto"/>
          <w:szCs w:val="20"/>
          <w:u w:val="none"/>
          <w:lang w:val="de-DE"/>
        </w:rPr>
        <w:t xml:space="preserve"> (zuletzt abgerufen am 21.03.2022).</w:t>
      </w:r>
    </w:p>
  </w:footnote>
  <w:footnote w:id="53">
    <w:p w14:paraId="0877479B" w14:textId="1AD5E2CD" w:rsidR="0076137D" w:rsidRPr="00C77207" w:rsidRDefault="0076137D" w:rsidP="00B40C18">
      <w:pPr>
        <w:pStyle w:val="FootnoteText"/>
        <w:rPr>
          <w:szCs w:val="20"/>
          <w:lang w:val="de-DE"/>
        </w:rPr>
      </w:pPr>
      <w:r w:rsidRPr="00C77207">
        <w:rPr>
          <w:rStyle w:val="FootnoteReference"/>
          <w:szCs w:val="20"/>
        </w:rPr>
        <w:footnoteRef/>
      </w:r>
      <w:r w:rsidRPr="00C77207">
        <w:rPr>
          <w:i/>
          <w:szCs w:val="20"/>
          <w:lang w:val="de-DE"/>
        </w:rPr>
        <w:t xml:space="preserve">Schroeder, </w:t>
      </w:r>
      <w:r w:rsidRPr="00C77207">
        <w:rPr>
          <w:szCs w:val="20"/>
          <w:lang w:val="de-DE"/>
        </w:rPr>
        <w:t>Bundesnetzagentur setzt Vorratsdatenspeicherung aus, Deutschlandfunk am 28.06.2017, URL: https://www.deutschlandfunk.de/netzpolitik-bundesnetzagentur-setzt-vorratsdatenspeicherung-100.html (zuletzt abgerufen am 21.03.2022).</w:t>
      </w:r>
    </w:p>
  </w:footnote>
  <w:footnote w:id="54">
    <w:p w14:paraId="6302AD9E" w14:textId="4D022787" w:rsidR="0076137D" w:rsidRPr="00C77207" w:rsidRDefault="0076137D" w:rsidP="00B40C18">
      <w:pPr>
        <w:pStyle w:val="FootnoteText"/>
        <w:rPr>
          <w:szCs w:val="20"/>
          <w:lang w:val="de-DE"/>
        </w:rPr>
      </w:pPr>
      <w:r w:rsidRPr="00C77207">
        <w:rPr>
          <w:rStyle w:val="FootnoteReference"/>
          <w:szCs w:val="20"/>
        </w:rPr>
        <w:footnoteRef/>
      </w:r>
      <w:r w:rsidRPr="00C77207">
        <w:rPr>
          <w:szCs w:val="20"/>
          <w:lang w:val="de-DE"/>
        </w:rPr>
        <w:t xml:space="preserve"> </w:t>
      </w:r>
      <w:r w:rsidRPr="00C77207">
        <w:rPr>
          <w:i/>
          <w:szCs w:val="20"/>
          <w:lang w:val="de-DE"/>
        </w:rPr>
        <w:t xml:space="preserve">Sehl/Dietrich, </w:t>
      </w:r>
      <w:r w:rsidRPr="00C77207">
        <w:rPr>
          <w:szCs w:val="20"/>
          <w:lang w:val="de-DE"/>
        </w:rPr>
        <w:t>Was von der deutschen Vorratsdatenspeicherung übrig bleibt, LTO am 18.11.2021, URL: https://www.lto.de/recht/nachrichten/n/eugh-schlussantraege-c79319-c79419-c14020-c33920-c39720-vorratsdatenspeicherung-deutschland-unionsrecht-113a-113b-tkg-datenschutz-telekom-spacenet/ (zuletzt abgerufen am 21.03.2022).</w:t>
      </w:r>
    </w:p>
  </w:footnote>
  <w:footnote w:id="55">
    <w:p w14:paraId="78CB7BF5" w14:textId="2E29064B" w:rsidR="0076137D" w:rsidRPr="00C77207" w:rsidRDefault="0076137D" w:rsidP="00B40C18">
      <w:pPr>
        <w:pStyle w:val="FootnoteText"/>
        <w:rPr>
          <w:szCs w:val="20"/>
        </w:rPr>
      </w:pPr>
      <w:r w:rsidRPr="00C77207">
        <w:rPr>
          <w:rStyle w:val="FootnoteReference"/>
          <w:szCs w:val="20"/>
        </w:rPr>
        <w:footnoteRef/>
      </w:r>
      <w:r w:rsidRPr="00C77207">
        <w:rPr>
          <w:szCs w:val="20"/>
          <w:lang w:val="de-DE"/>
        </w:rPr>
        <w:t xml:space="preserve"> </w:t>
      </w:r>
      <w:r w:rsidRPr="00C77207">
        <w:rPr>
          <w:i/>
          <w:szCs w:val="20"/>
          <w:lang w:val="de-DE"/>
        </w:rPr>
        <w:t>Bär</w:t>
      </w:r>
      <w:r w:rsidRPr="00C77207">
        <w:rPr>
          <w:szCs w:val="20"/>
          <w:lang w:val="de-DE"/>
        </w:rPr>
        <w:t xml:space="preserve">, in: Graf (Hrsg.), BeckOK/StPO, TKG, 42. </w:t>
      </w:r>
      <w:r w:rsidRPr="00C77207">
        <w:rPr>
          <w:szCs w:val="20"/>
        </w:rPr>
        <w:t xml:space="preserve">Edition 2022, § 175, Rn. 4 </w:t>
      </w:r>
      <w:proofErr w:type="spellStart"/>
      <w:r w:rsidRPr="00C77207">
        <w:rPr>
          <w:szCs w:val="20"/>
        </w:rPr>
        <w:t>m.w.N</w:t>
      </w:r>
      <w:proofErr w:type="spellEnd"/>
      <w:r w:rsidRPr="00C77207">
        <w:rPr>
          <w:szCs w:val="20"/>
        </w:rPr>
        <w:t>.</w:t>
      </w:r>
    </w:p>
  </w:footnote>
  <w:footnote w:id="56">
    <w:p w14:paraId="0F762456" w14:textId="76E324F0" w:rsidR="0076137D" w:rsidRPr="00C77207" w:rsidRDefault="0076137D">
      <w:pPr>
        <w:pStyle w:val="FootnoteText"/>
        <w:rPr>
          <w:szCs w:val="20"/>
          <w:lang w:val="de-DE"/>
        </w:rPr>
      </w:pPr>
      <w:r w:rsidRPr="00C77207">
        <w:rPr>
          <w:rStyle w:val="FootnoteReference"/>
          <w:szCs w:val="20"/>
        </w:rPr>
        <w:footnoteRef/>
      </w:r>
      <w:r w:rsidRPr="00C77207">
        <w:rPr>
          <w:szCs w:val="20"/>
          <w:lang w:val="de-DE"/>
        </w:rPr>
        <w:t>Ständige Rechtsprechung, siehe etwa BGH, Urteil v. 12.06.2007 - XI ZR 290/06, Tz. 24.</w:t>
      </w:r>
    </w:p>
  </w:footnote>
  <w:footnote w:id="57">
    <w:p w14:paraId="4F95AE3D" w14:textId="58925AC2" w:rsidR="0076137D" w:rsidRPr="00C77207" w:rsidRDefault="0076137D">
      <w:pPr>
        <w:pStyle w:val="FootnoteText"/>
        <w:rPr>
          <w:szCs w:val="20"/>
          <w:lang w:val="de-DE"/>
        </w:rPr>
      </w:pPr>
      <w:r w:rsidRPr="00C77207">
        <w:rPr>
          <w:rStyle w:val="FootnoteReference"/>
          <w:szCs w:val="20"/>
        </w:rPr>
        <w:footnoteRef/>
      </w:r>
      <w:r w:rsidRPr="00C77207">
        <w:rPr>
          <w:szCs w:val="20"/>
          <w:lang w:val="de-DE"/>
        </w:rPr>
        <w:t xml:space="preserve"> </w:t>
      </w:r>
      <w:r w:rsidRPr="00C77207">
        <w:rPr>
          <w:szCs w:val="20"/>
          <w:lang w:val="de-DE"/>
        </w:rPr>
        <w:t>Brüssel Ia-Verordnung (VO (EU) 1215/2012 v. 12.12.2012, zuletzt geändert durch die Delegierte Verordnung (EU) 2015/281 vom 26.11.2014.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C68B3" w14:textId="51DE2E61" w:rsidR="0076137D" w:rsidRDefault="0076137D" w:rsidP="00B06BCB">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B3590"/>
    <w:multiLevelType w:val="hybridMultilevel"/>
    <w:tmpl w:val="28B62B04"/>
    <w:lvl w:ilvl="0" w:tplc="4B0C9F9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65408F"/>
    <w:multiLevelType w:val="hybridMultilevel"/>
    <w:tmpl w:val="EF120DE6"/>
    <w:lvl w:ilvl="0" w:tplc="CA34DCB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24133643"/>
    <w:multiLevelType w:val="hybridMultilevel"/>
    <w:tmpl w:val="69AA0454"/>
    <w:lvl w:ilvl="0" w:tplc="ABD6D70C">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48511E"/>
    <w:multiLevelType w:val="hybridMultilevel"/>
    <w:tmpl w:val="E242AC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E882F96"/>
    <w:multiLevelType w:val="hybridMultilevel"/>
    <w:tmpl w:val="9334CBE2"/>
    <w:lvl w:ilvl="0" w:tplc="2D44E6FA">
      <w:start w:val="1"/>
      <w:numFmt w:val="bullet"/>
      <w:lvlText w:val=""/>
      <w:lvlJc w:val="left"/>
      <w:pPr>
        <w:ind w:left="288" w:firstLine="72"/>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7F043C"/>
    <w:multiLevelType w:val="hybridMultilevel"/>
    <w:tmpl w:val="570823B4"/>
    <w:lvl w:ilvl="0" w:tplc="4B0C9F9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6800EDD"/>
    <w:multiLevelType w:val="hybridMultilevel"/>
    <w:tmpl w:val="B61CEE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E981D36"/>
    <w:multiLevelType w:val="hybridMultilevel"/>
    <w:tmpl w:val="70A00A38"/>
    <w:lvl w:ilvl="0" w:tplc="13920746">
      <w:start w:val="1"/>
      <w:numFmt w:val="bullet"/>
      <w:lvlText w:val="-"/>
      <w:lvlJc w:val="left"/>
      <w:pPr>
        <w:ind w:left="1440" w:hanging="360"/>
      </w:pPr>
      <w:rPr>
        <w:rFonts w:ascii="Calibri" w:eastAsiaTheme="minorHAnsi" w:hAnsi="Calibri"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78E24E27"/>
    <w:multiLevelType w:val="hybridMultilevel"/>
    <w:tmpl w:val="0D0AA560"/>
    <w:lvl w:ilvl="0" w:tplc="DFAC580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7"/>
  </w:num>
  <w:num w:numId="5">
    <w:abstractNumId w:val="8"/>
  </w:num>
  <w:num w:numId="6">
    <w:abstractNumId w:val="0"/>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1E5"/>
    <w:rsid w:val="00021B0F"/>
    <w:rsid w:val="00026A1C"/>
    <w:rsid w:val="00032A4E"/>
    <w:rsid w:val="0003644E"/>
    <w:rsid w:val="000530D2"/>
    <w:rsid w:val="0005529E"/>
    <w:rsid w:val="00070266"/>
    <w:rsid w:val="00072018"/>
    <w:rsid w:val="00083987"/>
    <w:rsid w:val="000926BE"/>
    <w:rsid w:val="00094041"/>
    <w:rsid w:val="000A00DB"/>
    <w:rsid w:val="000A0BD7"/>
    <w:rsid w:val="000C544C"/>
    <w:rsid w:val="000D54CD"/>
    <w:rsid w:val="000F2DCA"/>
    <w:rsid w:val="000F3F4C"/>
    <w:rsid w:val="000F4E5F"/>
    <w:rsid w:val="001102BB"/>
    <w:rsid w:val="0011283A"/>
    <w:rsid w:val="001143A7"/>
    <w:rsid w:val="0012447D"/>
    <w:rsid w:val="00125C50"/>
    <w:rsid w:val="0013021C"/>
    <w:rsid w:val="00137403"/>
    <w:rsid w:val="00145FD4"/>
    <w:rsid w:val="001467E1"/>
    <w:rsid w:val="0014724B"/>
    <w:rsid w:val="001478EC"/>
    <w:rsid w:val="00157BBA"/>
    <w:rsid w:val="00171894"/>
    <w:rsid w:val="00187AAC"/>
    <w:rsid w:val="00190BE0"/>
    <w:rsid w:val="00192AA5"/>
    <w:rsid w:val="001B369D"/>
    <w:rsid w:val="001B4F4F"/>
    <w:rsid w:val="001C2BA0"/>
    <w:rsid w:val="001D4906"/>
    <w:rsid w:val="001D5DB6"/>
    <w:rsid w:val="001E635F"/>
    <w:rsid w:val="001F47F4"/>
    <w:rsid w:val="001F7365"/>
    <w:rsid w:val="001F7DD5"/>
    <w:rsid w:val="00204666"/>
    <w:rsid w:val="00210D82"/>
    <w:rsid w:val="0022034E"/>
    <w:rsid w:val="00232181"/>
    <w:rsid w:val="00246A3B"/>
    <w:rsid w:val="00247934"/>
    <w:rsid w:val="0025440E"/>
    <w:rsid w:val="00255812"/>
    <w:rsid w:val="0025718B"/>
    <w:rsid w:val="002618C6"/>
    <w:rsid w:val="00262772"/>
    <w:rsid w:val="0026290A"/>
    <w:rsid w:val="002631D4"/>
    <w:rsid w:val="00270BEE"/>
    <w:rsid w:val="002D3D36"/>
    <w:rsid w:val="002D43F1"/>
    <w:rsid w:val="002D5339"/>
    <w:rsid w:val="002D6081"/>
    <w:rsid w:val="002E2237"/>
    <w:rsid w:val="002E444B"/>
    <w:rsid w:val="002E47B3"/>
    <w:rsid w:val="002E6AF1"/>
    <w:rsid w:val="002F57B9"/>
    <w:rsid w:val="002F5D13"/>
    <w:rsid w:val="002F77A8"/>
    <w:rsid w:val="003029FA"/>
    <w:rsid w:val="00313967"/>
    <w:rsid w:val="00314CC1"/>
    <w:rsid w:val="0032348D"/>
    <w:rsid w:val="00333902"/>
    <w:rsid w:val="00353133"/>
    <w:rsid w:val="00365A49"/>
    <w:rsid w:val="00380B10"/>
    <w:rsid w:val="00395D50"/>
    <w:rsid w:val="003A20E2"/>
    <w:rsid w:val="003B032B"/>
    <w:rsid w:val="003C1739"/>
    <w:rsid w:val="003E12B0"/>
    <w:rsid w:val="003F427F"/>
    <w:rsid w:val="003F49E4"/>
    <w:rsid w:val="003F57E4"/>
    <w:rsid w:val="004036FF"/>
    <w:rsid w:val="00425EA2"/>
    <w:rsid w:val="00432E64"/>
    <w:rsid w:val="00436CD9"/>
    <w:rsid w:val="004501EE"/>
    <w:rsid w:val="004548D9"/>
    <w:rsid w:val="004575C7"/>
    <w:rsid w:val="004752A3"/>
    <w:rsid w:val="004827B9"/>
    <w:rsid w:val="0049041D"/>
    <w:rsid w:val="004B0521"/>
    <w:rsid w:val="004B3F43"/>
    <w:rsid w:val="004B4D25"/>
    <w:rsid w:val="004C165E"/>
    <w:rsid w:val="004C79E5"/>
    <w:rsid w:val="004C7FAF"/>
    <w:rsid w:val="004D039F"/>
    <w:rsid w:val="004E03B1"/>
    <w:rsid w:val="0050297D"/>
    <w:rsid w:val="0053004D"/>
    <w:rsid w:val="005375ED"/>
    <w:rsid w:val="00537A51"/>
    <w:rsid w:val="005551F9"/>
    <w:rsid w:val="005677BA"/>
    <w:rsid w:val="005758E8"/>
    <w:rsid w:val="00596A4B"/>
    <w:rsid w:val="00597D8C"/>
    <w:rsid w:val="005A0A85"/>
    <w:rsid w:val="005C4A0F"/>
    <w:rsid w:val="005E1DC0"/>
    <w:rsid w:val="005F1BE7"/>
    <w:rsid w:val="005F2F20"/>
    <w:rsid w:val="006117D1"/>
    <w:rsid w:val="00620052"/>
    <w:rsid w:val="00622338"/>
    <w:rsid w:val="006252CB"/>
    <w:rsid w:val="006364E0"/>
    <w:rsid w:val="00637622"/>
    <w:rsid w:val="006416F0"/>
    <w:rsid w:val="00646BF3"/>
    <w:rsid w:val="006556F4"/>
    <w:rsid w:val="00686E87"/>
    <w:rsid w:val="00694CDD"/>
    <w:rsid w:val="006A369F"/>
    <w:rsid w:val="006A4ED8"/>
    <w:rsid w:val="006B7528"/>
    <w:rsid w:val="006C7EF3"/>
    <w:rsid w:val="006E3264"/>
    <w:rsid w:val="006E56B4"/>
    <w:rsid w:val="006F60F7"/>
    <w:rsid w:val="00700BCE"/>
    <w:rsid w:val="00703822"/>
    <w:rsid w:val="00715FD2"/>
    <w:rsid w:val="007227D1"/>
    <w:rsid w:val="0072343A"/>
    <w:rsid w:val="007324FB"/>
    <w:rsid w:val="00732F11"/>
    <w:rsid w:val="007428D0"/>
    <w:rsid w:val="00746460"/>
    <w:rsid w:val="00756254"/>
    <w:rsid w:val="0076137D"/>
    <w:rsid w:val="0076149C"/>
    <w:rsid w:val="00767ABC"/>
    <w:rsid w:val="0077068E"/>
    <w:rsid w:val="00781C7F"/>
    <w:rsid w:val="00783F8D"/>
    <w:rsid w:val="00787852"/>
    <w:rsid w:val="007917BB"/>
    <w:rsid w:val="00794D1E"/>
    <w:rsid w:val="007A633F"/>
    <w:rsid w:val="007A7B10"/>
    <w:rsid w:val="007B50B3"/>
    <w:rsid w:val="007D37C7"/>
    <w:rsid w:val="007E664C"/>
    <w:rsid w:val="007F0D8E"/>
    <w:rsid w:val="0082315D"/>
    <w:rsid w:val="00830937"/>
    <w:rsid w:val="00847A43"/>
    <w:rsid w:val="008543B6"/>
    <w:rsid w:val="00856535"/>
    <w:rsid w:val="0086012F"/>
    <w:rsid w:val="008663E5"/>
    <w:rsid w:val="0087192B"/>
    <w:rsid w:val="00872DFC"/>
    <w:rsid w:val="008855C1"/>
    <w:rsid w:val="00887E38"/>
    <w:rsid w:val="008971EB"/>
    <w:rsid w:val="008A5EA9"/>
    <w:rsid w:val="008B3E33"/>
    <w:rsid w:val="008B48C7"/>
    <w:rsid w:val="008B688B"/>
    <w:rsid w:val="008D603F"/>
    <w:rsid w:val="008D6203"/>
    <w:rsid w:val="008E225B"/>
    <w:rsid w:val="008E5A55"/>
    <w:rsid w:val="009137CF"/>
    <w:rsid w:val="00914257"/>
    <w:rsid w:val="00926325"/>
    <w:rsid w:val="00935DB2"/>
    <w:rsid w:val="009367F4"/>
    <w:rsid w:val="0094293F"/>
    <w:rsid w:val="00962CF4"/>
    <w:rsid w:val="00966EED"/>
    <w:rsid w:val="00974994"/>
    <w:rsid w:val="0098294D"/>
    <w:rsid w:val="009935DE"/>
    <w:rsid w:val="009965B7"/>
    <w:rsid w:val="009A5FA1"/>
    <w:rsid w:val="009A6268"/>
    <w:rsid w:val="009B33C7"/>
    <w:rsid w:val="009C5EB7"/>
    <w:rsid w:val="009E6982"/>
    <w:rsid w:val="009F3132"/>
    <w:rsid w:val="009F4AB8"/>
    <w:rsid w:val="00A0557E"/>
    <w:rsid w:val="00A40724"/>
    <w:rsid w:val="00A456A5"/>
    <w:rsid w:val="00A5047A"/>
    <w:rsid w:val="00A50593"/>
    <w:rsid w:val="00A5329B"/>
    <w:rsid w:val="00A57D8B"/>
    <w:rsid w:val="00A618BC"/>
    <w:rsid w:val="00A90262"/>
    <w:rsid w:val="00A91FC8"/>
    <w:rsid w:val="00A9209A"/>
    <w:rsid w:val="00A97D99"/>
    <w:rsid w:val="00AA390A"/>
    <w:rsid w:val="00AC5D7F"/>
    <w:rsid w:val="00AD4CFF"/>
    <w:rsid w:val="00AF0CD9"/>
    <w:rsid w:val="00AF4776"/>
    <w:rsid w:val="00B05B9F"/>
    <w:rsid w:val="00B06BCB"/>
    <w:rsid w:val="00B14331"/>
    <w:rsid w:val="00B16C66"/>
    <w:rsid w:val="00B1701C"/>
    <w:rsid w:val="00B237BB"/>
    <w:rsid w:val="00B30F51"/>
    <w:rsid w:val="00B40C18"/>
    <w:rsid w:val="00B4417D"/>
    <w:rsid w:val="00B4581C"/>
    <w:rsid w:val="00B50800"/>
    <w:rsid w:val="00B7671F"/>
    <w:rsid w:val="00B77614"/>
    <w:rsid w:val="00B83595"/>
    <w:rsid w:val="00B850F3"/>
    <w:rsid w:val="00BA1216"/>
    <w:rsid w:val="00BA1863"/>
    <w:rsid w:val="00BC0F9A"/>
    <w:rsid w:val="00BD19CA"/>
    <w:rsid w:val="00BD3B0B"/>
    <w:rsid w:val="00BE1092"/>
    <w:rsid w:val="00BE5693"/>
    <w:rsid w:val="00BE5BA8"/>
    <w:rsid w:val="00BF1382"/>
    <w:rsid w:val="00C02D8A"/>
    <w:rsid w:val="00C050CA"/>
    <w:rsid w:val="00C05629"/>
    <w:rsid w:val="00C11046"/>
    <w:rsid w:val="00C14AF0"/>
    <w:rsid w:val="00C20820"/>
    <w:rsid w:val="00C233BD"/>
    <w:rsid w:val="00C24EFD"/>
    <w:rsid w:val="00C272C3"/>
    <w:rsid w:val="00C455E5"/>
    <w:rsid w:val="00C51739"/>
    <w:rsid w:val="00C55A34"/>
    <w:rsid w:val="00C5673B"/>
    <w:rsid w:val="00C6050A"/>
    <w:rsid w:val="00C721EA"/>
    <w:rsid w:val="00C74491"/>
    <w:rsid w:val="00C77207"/>
    <w:rsid w:val="00C85330"/>
    <w:rsid w:val="00C91268"/>
    <w:rsid w:val="00CA0E82"/>
    <w:rsid w:val="00CB0E3E"/>
    <w:rsid w:val="00CB2618"/>
    <w:rsid w:val="00CB3B93"/>
    <w:rsid w:val="00CB6521"/>
    <w:rsid w:val="00CB661D"/>
    <w:rsid w:val="00CC01B4"/>
    <w:rsid w:val="00CC7253"/>
    <w:rsid w:val="00CE5D88"/>
    <w:rsid w:val="00CE7022"/>
    <w:rsid w:val="00CE71E5"/>
    <w:rsid w:val="00CF27C1"/>
    <w:rsid w:val="00CF6023"/>
    <w:rsid w:val="00D34853"/>
    <w:rsid w:val="00D453C9"/>
    <w:rsid w:val="00D5737A"/>
    <w:rsid w:val="00D602BC"/>
    <w:rsid w:val="00D72761"/>
    <w:rsid w:val="00D76A62"/>
    <w:rsid w:val="00D8535B"/>
    <w:rsid w:val="00DA67D2"/>
    <w:rsid w:val="00DE36F5"/>
    <w:rsid w:val="00DF2393"/>
    <w:rsid w:val="00DF49F3"/>
    <w:rsid w:val="00E14287"/>
    <w:rsid w:val="00E1643F"/>
    <w:rsid w:val="00E23F16"/>
    <w:rsid w:val="00E2509C"/>
    <w:rsid w:val="00E31EA2"/>
    <w:rsid w:val="00E32B82"/>
    <w:rsid w:val="00E47C10"/>
    <w:rsid w:val="00E50F7C"/>
    <w:rsid w:val="00E545C7"/>
    <w:rsid w:val="00E8174A"/>
    <w:rsid w:val="00E844FF"/>
    <w:rsid w:val="00E8506F"/>
    <w:rsid w:val="00E87A22"/>
    <w:rsid w:val="00EB2994"/>
    <w:rsid w:val="00EB7DC4"/>
    <w:rsid w:val="00EC5BF6"/>
    <w:rsid w:val="00ED4B1A"/>
    <w:rsid w:val="00ED70FB"/>
    <w:rsid w:val="00ED7E44"/>
    <w:rsid w:val="00EE48B9"/>
    <w:rsid w:val="00EF35AD"/>
    <w:rsid w:val="00EF4341"/>
    <w:rsid w:val="00F01775"/>
    <w:rsid w:val="00F05F3E"/>
    <w:rsid w:val="00F206A4"/>
    <w:rsid w:val="00F331EF"/>
    <w:rsid w:val="00F44CEB"/>
    <w:rsid w:val="00F728B6"/>
    <w:rsid w:val="00F802C1"/>
    <w:rsid w:val="00F805F3"/>
    <w:rsid w:val="00F8449F"/>
    <w:rsid w:val="00F90C3C"/>
    <w:rsid w:val="00F92B30"/>
    <w:rsid w:val="00FA06C5"/>
    <w:rsid w:val="00FA1E68"/>
    <w:rsid w:val="00FA6798"/>
    <w:rsid w:val="00FB4EC7"/>
    <w:rsid w:val="00FC498D"/>
    <w:rsid w:val="00FC536F"/>
    <w:rsid w:val="00FD3515"/>
    <w:rsid w:val="00FD680B"/>
    <w:rsid w:val="00FF033B"/>
    <w:rsid w:val="00FF2CC3"/>
    <w:rsid w:val="00FF4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AEC4C"/>
  <w15:docId w15:val="{43B93E0C-2354-402E-A927-482B872B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4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21">
    <w:name w:val="Plain Table 21"/>
    <w:basedOn w:val="TableNormal"/>
    <w:next w:val="EinfacheTabelle21"/>
    <w:uiPriority w:val="42"/>
    <w:rsid w:val="001C2BA0"/>
    <w:pPr>
      <w:pBdr>
        <w:top w:val="nil"/>
        <w:left w:val="nil"/>
        <w:bottom w:val="nil"/>
        <w:right w:val="nil"/>
        <w:between w:val="nil"/>
      </w:pBdr>
      <w:spacing w:after="0" w:line="240" w:lineRule="auto"/>
    </w:pPr>
    <w:rPr>
      <w:rFonts w:ascii="Arial" w:eastAsia="Arial" w:hAnsi="Arial" w:cs="Arial"/>
      <w:color w:val="000000"/>
      <w:lang w:bidi="th-TH"/>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EinfacheTabelle21">
    <w:name w:val="Einfache Tabelle 21"/>
    <w:basedOn w:val="TableNormal"/>
    <w:uiPriority w:val="42"/>
    <w:rsid w:val="001C2BA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1C2BA0"/>
    <w:rPr>
      <w:color w:val="0563C1" w:themeColor="hyperlink"/>
      <w:u w:val="single"/>
    </w:rPr>
  </w:style>
  <w:style w:type="paragraph" w:styleId="Header">
    <w:name w:val="header"/>
    <w:basedOn w:val="Normal"/>
    <w:link w:val="HeaderChar"/>
    <w:uiPriority w:val="99"/>
    <w:unhideWhenUsed/>
    <w:rsid w:val="001C2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BA0"/>
  </w:style>
  <w:style w:type="paragraph" w:styleId="Footer">
    <w:name w:val="footer"/>
    <w:basedOn w:val="Normal"/>
    <w:link w:val="FooterChar"/>
    <w:uiPriority w:val="99"/>
    <w:unhideWhenUsed/>
    <w:rsid w:val="001C2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BA0"/>
  </w:style>
  <w:style w:type="paragraph" w:styleId="FootnoteText">
    <w:name w:val="footnote text"/>
    <w:basedOn w:val="Normal"/>
    <w:link w:val="FootnoteTextChar"/>
    <w:uiPriority w:val="99"/>
    <w:unhideWhenUsed/>
    <w:qFormat/>
    <w:rsid w:val="00C721EA"/>
    <w:pPr>
      <w:spacing w:after="0" w:line="240" w:lineRule="auto"/>
    </w:pPr>
    <w:rPr>
      <w:sz w:val="20"/>
      <w:szCs w:val="25"/>
      <w:lang w:bidi="th-TH"/>
    </w:rPr>
  </w:style>
  <w:style w:type="character" w:customStyle="1" w:styleId="FootnoteTextChar">
    <w:name w:val="Footnote Text Char"/>
    <w:basedOn w:val="DefaultParagraphFont"/>
    <w:link w:val="FootnoteText"/>
    <w:uiPriority w:val="99"/>
    <w:rsid w:val="00C721EA"/>
    <w:rPr>
      <w:sz w:val="20"/>
      <w:szCs w:val="25"/>
      <w:lang w:bidi="th-TH"/>
    </w:rPr>
  </w:style>
  <w:style w:type="character" w:styleId="FootnoteReference">
    <w:name w:val="footnote reference"/>
    <w:basedOn w:val="DefaultParagraphFont"/>
    <w:uiPriority w:val="99"/>
    <w:unhideWhenUsed/>
    <w:qFormat/>
    <w:rsid w:val="00C721EA"/>
    <w:rPr>
      <w:vertAlign w:val="superscript"/>
    </w:rPr>
  </w:style>
  <w:style w:type="paragraph" w:styleId="ListParagraph">
    <w:name w:val="List Paragraph"/>
    <w:basedOn w:val="Normal"/>
    <w:uiPriority w:val="34"/>
    <w:qFormat/>
    <w:rsid w:val="00D602BC"/>
    <w:pPr>
      <w:pBdr>
        <w:top w:val="nil"/>
        <w:left w:val="nil"/>
        <w:bottom w:val="nil"/>
        <w:right w:val="nil"/>
        <w:between w:val="nil"/>
      </w:pBdr>
      <w:spacing w:after="0" w:line="276" w:lineRule="auto"/>
      <w:ind w:left="720"/>
      <w:contextualSpacing/>
    </w:pPr>
    <w:rPr>
      <w:rFonts w:ascii="Arial" w:eastAsia="Arial" w:hAnsi="Arial" w:cs="Cordia New"/>
      <w:color w:val="000000"/>
      <w:szCs w:val="28"/>
      <w:lang w:bidi="th-TH"/>
    </w:rPr>
  </w:style>
  <w:style w:type="table" w:styleId="TableGrid">
    <w:name w:val="Table Grid"/>
    <w:basedOn w:val="TableNormal"/>
    <w:uiPriority w:val="39"/>
    <w:rsid w:val="00A57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DefaultParagraphFont"/>
    <w:uiPriority w:val="99"/>
    <w:semiHidden/>
    <w:unhideWhenUsed/>
    <w:rsid w:val="002618C6"/>
    <w:rPr>
      <w:color w:val="605E5C"/>
      <w:shd w:val="clear" w:color="auto" w:fill="E1DFDD"/>
    </w:rPr>
  </w:style>
  <w:style w:type="character" w:styleId="FollowedHyperlink">
    <w:name w:val="FollowedHyperlink"/>
    <w:basedOn w:val="DefaultParagraphFont"/>
    <w:uiPriority w:val="99"/>
    <w:semiHidden/>
    <w:unhideWhenUsed/>
    <w:rsid w:val="00E8174A"/>
    <w:rPr>
      <w:color w:val="954F72" w:themeColor="followedHyperlink"/>
      <w:u w:val="single"/>
    </w:rPr>
  </w:style>
  <w:style w:type="character" w:customStyle="1" w:styleId="reference-text">
    <w:name w:val="reference-text"/>
    <w:basedOn w:val="DefaultParagraphFont"/>
    <w:rsid w:val="00AC5D7F"/>
  </w:style>
  <w:style w:type="character" w:styleId="CommentReference">
    <w:name w:val="annotation reference"/>
    <w:basedOn w:val="DefaultParagraphFont"/>
    <w:uiPriority w:val="99"/>
    <w:semiHidden/>
    <w:unhideWhenUsed/>
    <w:rsid w:val="00F92B30"/>
    <w:rPr>
      <w:sz w:val="16"/>
      <w:szCs w:val="16"/>
    </w:rPr>
  </w:style>
  <w:style w:type="paragraph" w:styleId="CommentText">
    <w:name w:val="annotation text"/>
    <w:basedOn w:val="Normal"/>
    <w:link w:val="CommentTextChar"/>
    <w:uiPriority w:val="99"/>
    <w:unhideWhenUsed/>
    <w:rsid w:val="00F92B30"/>
    <w:pPr>
      <w:spacing w:line="240" w:lineRule="auto"/>
    </w:pPr>
    <w:rPr>
      <w:sz w:val="20"/>
      <w:szCs w:val="20"/>
    </w:rPr>
  </w:style>
  <w:style w:type="character" w:customStyle="1" w:styleId="CommentTextChar">
    <w:name w:val="Comment Text Char"/>
    <w:basedOn w:val="DefaultParagraphFont"/>
    <w:link w:val="CommentText"/>
    <w:uiPriority w:val="99"/>
    <w:rsid w:val="00F92B30"/>
    <w:rPr>
      <w:sz w:val="20"/>
      <w:szCs w:val="20"/>
    </w:rPr>
  </w:style>
  <w:style w:type="paragraph" w:styleId="CommentSubject">
    <w:name w:val="annotation subject"/>
    <w:basedOn w:val="CommentText"/>
    <w:next w:val="CommentText"/>
    <w:link w:val="CommentSubjectChar"/>
    <w:uiPriority w:val="99"/>
    <w:semiHidden/>
    <w:unhideWhenUsed/>
    <w:rsid w:val="00F92B30"/>
    <w:rPr>
      <w:b/>
      <w:bCs/>
    </w:rPr>
  </w:style>
  <w:style w:type="character" w:customStyle="1" w:styleId="CommentSubjectChar">
    <w:name w:val="Comment Subject Char"/>
    <w:basedOn w:val="CommentTextChar"/>
    <w:link w:val="CommentSubject"/>
    <w:uiPriority w:val="99"/>
    <w:semiHidden/>
    <w:rsid w:val="00F92B30"/>
    <w:rPr>
      <w:b/>
      <w:bCs/>
      <w:sz w:val="20"/>
      <w:szCs w:val="20"/>
    </w:rPr>
  </w:style>
  <w:style w:type="paragraph" w:styleId="BalloonText">
    <w:name w:val="Balloon Text"/>
    <w:basedOn w:val="Normal"/>
    <w:link w:val="BalloonTextChar"/>
    <w:uiPriority w:val="99"/>
    <w:semiHidden/>
    <w:unhideWhenUsed/>
    <w:rsid w:val="007F0D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D8E"/>
    <w:rPr>
      <w:rFonts w:ascii="Segoe UI" w:hAnsi="Segoe UI" w:cs="Segoe UI"/>
      <w:sz w:val="18"/>
      <w:szCs w:val="18"/>
    </w:rPr>
  </w:style>
  <w:style w:type="character" w:customStyle="1" w:styleId="NichtaufgelsteErwhnung2">
    <w:name w:val="Nicht aufgelöste Erwähnung2"/>
    <w:basedOn w:val="DefaultParagraphFont"/>
    <w:uiPriority w:val="99"/>
    <w:semiHidden/>
    <w:unhideWhenUsed/>
    <w:rsid w:val="00083987"/>
    <w:rPr>
      <w:color w:val="605E5C"/>
      <w:shd w:val="clear" w:color="auto" w:fill="E1DFDD"/>
    </w:rPr>
  </w:style>
  <w:style w:type="character" w:customStyle="1" w:styleId="UnresolvedMention">
    <w:name w:val="Unresolved Mention"/>
    <w:basedOn w:val="DefaultParagraphFont"/>
    <w:uiPriority w:val="99"/>
    <w:semiHidden/>
    <w:unhideWhenUsed/>
    <w:rsid w:val="000D54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241923">
      <w:bodyDiv w:val="1"/>
      <w:marLeft w:val="0"/>
      <w:marRight w:val="0"/>
      <w:marTop w:val="0"/>
      <w:marBottom w:val="0"/>
      <w:divBdr>
        <w:top w:val="none" w:sz="0" w:space="0" w:color="auto"/>
        <w:left w:val="none" w:sz="0" w:space="0" w:color="auto"/>
        <w:bottom w:val="none" w:sz="0" w:space="0" w:color="auto"/>
        <w:right w:val="none" w:sz="0" w:space="0" w:color="auto"/>
      </w:divBdr>
    </w:div>
    <w:div w:id="1047920846">
      <w:bodyDiv w:val="1"/>
      <w:marLeft w:val="0"/>
      <w:marRight w:val="0"/>
      <w:marTop w:val="0"/>
      <w:marBottom w:val="0"/>
      <w:divBdr>
        <w:top w:val="none" w:sz="0" w:space="0" w:color="auto"/>
        <w:left w:val="none" w:sz="0" w:space="0" w:color="auto"/>
        <w:bottom w:val="none" w:sz="0" w:space="0" w:color="auto"/>
        <w:right w:val="none" w:sz="0" w:space="0" w:color="auto"/>
      </w:divBdr>
      <w:divsChild>
        <w:div w:id="717240898">
          <w:marLeft w:val="0"/>
          <w:marRight w:val="0"/>
          <w:marTop w:val="0"/>
          <w:marBottom w:val="60"/>
          <w:divBdr>
            <w:top w:val="none" w:sz="0" w:space="0" w:color="auto"/>
            <w:left w:val="none" w:sz="0" w:space="0" w:color="auto"/>
            <w:bottom w:val="none" w:sz="0" w:space="0" w:color="auto"/>
            <w:right w:val="none" w:sz="0" w:space="0" w:color="auto"/>
          </w:divBdr>
        </w:div>
        <w:div w:id="73280790">
          <w:marLeft w:val="0"/>
          <w:marRight w:val="0"/>
          <w:marTop w:val="0"/>
          <w:marBottom w:val="60"/>
          <w:divBdr>
            <w:top w:val="none" w:sz="0" w:space="0" w:color="auto"/>
            <w:left w:val="none" w:sz="0" w:space="0" w:color="auto"/>
            <w:bottom w:val="none" w:sz="0" w:space="0" w:color="auto"/>
            <w:right w:val="none" w:sz="0" w:space="0" w:color="auto"/>
          </w:divBdr>
        </w:div>
      </w:divsChild>
    </w:div>
    <w:div w:id="1907255867">
      <w:bodyDiv w:val="1"/>
      <w:marLeft w:val="0"/>
      <w:marRight w:val="0"/>
      <w:marTop w:val="0"/>
      <w:marBottom w:val="0"/>
      <w:divBdr>
        <w:top w:val="none" w:sz="0" w:space="0" w:color="auto"/>
        <w:left w:val="none" w:sz="0" w:space="0" w:color="auto"/>
        <w:bottom w:val="none" w:sz="0" w:space="0" w:color="auto"/>
        <w:right w:val="none" w:sz="0" w:space="0" w:color="auto"/>
      </w:divBdr>
    </w:div>
    <w:div w:id="1997490285">
      <w:bodyDiv w:val="1"/>
      <w:marLeft w:val="0"/>
      <w:marRight w:val="0"/>
      <w:marTop w:val="0"/>
      <w:marBottom w:val="0"/>
      <w:divBdr>
        <w:top w:val="none" w:sz="0" w:space="0" w:color="auto"/>
        <w:left w:val="none" w:sz="0" w:space="0" w:color="auto"/>
        <w:bottom w:val="none" w:sz="0" w:space="0" w:color="auto"/>
        <w:right w:val="none" w:sz="0" w:space="0" w:color="auto"/>
      </w:divBdr>
    </w:div>
    <w:div w:id="204277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esetze-im-internet.de/aufenthg_2004/" TargetMode="External"/><Relationship Id="rId18" Type="http://schemas.openxmlformats.org/officeDocument/2006/relationships/hyperlink" Target="https://rm.coe.int/16800645c5" TargetMode="External"/><Relationship Id="rId26" Type="http://schemas.openxmlformats.org/officeDocument/2006/relationships/hyperlink" Target="https://www.kinderrechtskonvention.info/2-fakultativprotokoll-zur-kinderrechtskonvention-3216/" TargetMode="External"/><Relationship Id="rId39" Type="http://schemas.openxmlformats.org/officeDocument/2006/relationships/header" Target="header1.xml"/><Relationship Id="rId21" Type="http://schemas.openxmlformats.org/officeDocument/2006/relationships/hyperlink" Target="https://www.gesetze-im-internet.de/gvg/" TargetMode="External"/><Relationship Id="rId34" Type="http://schemas.openxmlformats.org/officeDocument/2006/relationships/hyperlink" Target="https://www.gesetze-im-internet.de/stpo/"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legal-content/de/TXT/?uri=CELEX:32012R1215" TargetMode="External"/><Relationship Id="rId20" Type="http://schemas.openxmlformats.org/officeDocument/2006/relationships/hyperlink" Target="https://www.gesetze-im-internet.de/gg/" TargetMode="External"/><Relationship Id="rId29" Type="http://schemas.openxmlformats.org/officeDocument/2006/relationships/hyperlink" Target="https://www.verwaltungsvorschriften-im-internet.de/bsvwvbund_01011977_420821R5902002.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pat.org/wp-content/uploads/2021/09/SECTT-Checklist_ENG-1.pdf" TargetMode="External"/><Relationship Id="rId24" Type="http://schemas.openxmlformats.org/officeDocument/2006/relationships/hyperlink" Target="https://www.gesetze-im-internet.de/lksg/" TargetMode="External"/><Relationship Id="rId32" Type="http://schemas.openxmlformats.org/officeDocument/2006/relationships/hyperlink" Target="https://www.gesetze-im-internet.de/sgb_8/" TargetMode="External"/><Relationship Id="rId37" Type="http://schemas.openxmlformats.org/officeDocument/2006/relationships/image" Target="media/image3.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esetze-im-internet.de/bgb/" TargetMode="External"/><Relationship Id="rId23" Type="http://schemas.openxmlformats.org/officeDocument/2006/relationships/hyperlink" Target="https://www.gesetze-im-internet.de/jfdg/" TargetMode="External"/><Relationship Id="rId28" Type="http://schemas.openxmlformats.org/officeDocument/2006/relationships/hyperlink" Target="https://eur-lex.europa.eu/legal-content/DE/LSU/?uri=CELEX:32002F0584" TargetMode="External"/><Relationship Id="rId36" Type="http://schemas.openxmlformats.org/officeDocument/2006/relationships/hyperlink" Target="https://www.gesetze-im-internet.de/zpo/" TargetMode="External"/><Relationship Id="rId10" Type="http://schemas.openxmlformats.org/officeDocument/2006/relationships/hyperlink" Target="https://ecpat.org/wp-content/uploads/2021/08/Global-Report-Offenders-on-the-Move.pdf" TargetMode="External"/><Relationship Id="rId19" Type="http://schemas.openxmlformats.org/officeDocument/2006/relationships/hyperlink" Target="https://www.gesetze-im-internet.de/freiz_gg_eu_2004/" TargetMode="External"/><Relationship Id="rId31" Type="http://schemas.openxmlformats.org/officeDocument/2006/relationships/hyperlink" Target="https://www.gesetze-im-internet.de/sgb_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esetze-im-internet.de/bfdg/" TargetMode="External"/><Relationship Id="rId22" Type="http://schemas.openxmlformats.org/officeDocument/2006/relationships/hyperlink" Target="https://www.gesetze-im-internet.de/irg/" TargetMode="External"/><Relationship Id="rId27" Type="http://schemas.openxmlformats.org/officeDocument/2006/relationships/hyperlink" Target="https://www.gesetze-im-internet.de/pa_g_1986/" TargetMode="External"/><Relationship Id="rId30" Type="http://schemas.openxmlformats.org/officeDocument/2006/relationships/hyperlink" Target="https://dejure.org/gesetze/Rom-II-VO" TargetMode="External"/><Relationship Id="rId35" Type="http://schemas.openxmlformats.org/officeDocument/2006/relationships/hyperlink" Target="https://www.gesetze-im-internet.de/tkg_2021/"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cpat.org/search-our-library/?cat=legal&amp;language=&amp;rescountry=&amp;region=&amp;search=&amp;display=grid" TargetMode="External"/><Relationship Id="rId17" Type="http://schemas.openxmlformats.org/officeDocument/2006/relationships/hyperlink" Target="https://www.gesetze-im-internet.de/bzrg/" TargetMode="External"/><Relationship Id="rId25" Type="http://schemas.openxmlformats.org/officeDocument/2006/relationships/hyperlink" Target="https://www.gesetze-im-internet.de/oeg/" TargetMode="External"/><Relationship Id="rId33" Type="http://schemas.openxmlformats.org/officeDocument/2006/relationships/hyperlink" Target="https://www.gesetze-im-internet.de/stgb/" TargetMode="External"/><Relationship Id="rId38" Type="http://schemas.openxmlformats.org/officeDocument/2006/relationships/footer" Target="footer1.xml"/><Relationship Id="rId46"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ecpat.org/wp-content/uploads/2021/08/SECTT-Checklist_ENG_Explanatory-no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9E2B4-25BE-4BFC-BC73-621DDE638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8540</Words>
  <Characters>48681</Characters>
  <Application>Microsoft Office Word</Application>
  <DocSecurity>0</DocSecurity>
  <Lines>405</Lines>
  <Paragraphs>114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Varrella</dc:creator>
  <cp:lastModifiedBy>Gabriela Kuhn</cp:lastModifiedBy>
  <cp:revision>7</cp:revision>
  <cp:lastPrinted>2022-06-10T07:52:00Z</cp:lastPrinted>
  <dcterms:created xsi:type="dcterms:W3CDTF">2022-06-09T10:54:00Z</dcterms:created>
  <dcterms:modified xsi:type="dcterms:W3CDTF">2022-06-10T11:01:00Z</dcterms:modified>
</cp:coreProperties>
</file>