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2726E" w14:textId="2263CBB1" w:rsidR="007B6F44" w:rsidRPr="00DF4A2D" w:rsidRDefault="00DD304B">
      <w:pPr>
        <w:rPr>
          <w:rFonts w:ascii="Calibri-Bold" w:hAnsi="Calibri-Bold" w:cs="Calibri-Bold"/>
          <w:b/>
          <w:bCs/>
          <w:color w:val="02436F"/>
          <w:sz w:val="32"/>
          <w:szCs w:val="32"/>
          <w:lang w:val="es-CR"/>
        </w:rPr>
      </w:pPr>
      <w:r w:rsidRPr="00DF4A2D">
        <w:rPr>
          <w:rFonts w:ascii="Calibri-Bold" w:hAnsi="Calibri-Bold" w:cs="Calibri-Bold"/>
          <w:b/>
          <w:bCs/>
          <w:noProof/>
          <w:color w:val="02436F"/>
          <w:sz w:val="32"/>
          <w:szCs w:val="32"/>
          <w:lang w:val="en-US"/>
        </w:rPr>
        <w:drawing>
          <wp:anchor distT="0" distB="0" distL="114300" distR="114300" simplePos="0" relativeHeight="251659264" behindDoc="0" locked="0" layoutInCell="1" allowOverlap="1" wp14:anchorId="524CF39A" wp14:editId="5CF0AD49">
            <wp:simplePos x="0" y="0"/>
            <wp:positionH relativeFrom="margin">
              <wp:posOffset>4438650</wp:posOffset>
            </wp:positionH>
            <wp:positionV relativeFrom="margin">
              <wp:posOffset>-260350</wp:posOffset>
            </wp:positionV>
            <wp:extent cx="1136650" cy="756285"/>
            <wp:effectExtent l="0" t="0" r="6350" b="571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republica-dominicana_400px.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36650" cy="756285"/>
                    </a:xfrm>
                    <a:prstGeom prst="rect">
                      <a:avLst/>
                    </a:prstGeom>
                  </pic:spPr>
                </pic:pic>
              </a:graphicData>
            </a:graphic>
            <wp14:sizeRelH relativeFrom="margin">
              <wp14:pctWidth>0</wp14:pctWidth>
            </wp14:sizeRelH>
            <wp14:sizeRelV relativeFrom="margin">
              <wp14:pctHeight>0</wp14:pctHeight>
            </wp14:sizeRelV>
          </wp:anchor>
        </w:drawing>
      </w:r>
      <w:r w:rsidRPr="00DF4A2D">
        <w:rPr>
          <w:rFonts w:ascii="Calibri-Bold" w:hAnsi="Calibri-Bold" w:cs="Calibri-Bold"/>
          <w:b/>
          <w:bCs/>
          <w:color w:val="02436F"/>
          <w:sz w:val="32"/>
          <w:szCs w:val="32"/>
          <w:lang w:val="es-CR"/>
        </w:rPr>
        <w:t>República Dominicana</w:t>
      </w:r>
      <w:r w:rsidR="006B3617" w:rsidRPr="00DF4A2D">
        <w:rPr>
          <w:rFonts w:ascii="Calibri-Bold" w:hAnsi="Calibri-Bold" w:cs="Calibri-Bold"/>
          <w:b/>
          <w:bCs/>
          <w:color w:val="02436F"/>
          <w:sz w:val="32"/>
          <w:szCs w:val="32"/>
          <w:lang w:val="es-CR"/>
        </w:rPr>
        <w:t xml:space="preserve"> </w:t>
      </w:r>
    </w:p>
    <w:p w14:paraId="263AECB8" w14:textId="67A45627" w:rsidR="006B3617" w:rsidRPr="00DF4A2D" w:rsidRDefault="006B3617">
      <w:pPr>
        <w:rPr>
          <w:rFonts w:ascii="Calibri-Bold" w:hAnsi="Calibri-Bold" w:cs="Calibri-Bold"/>
          <w:b/>
          <w:bCs/>
          <w:color w:val="02436F"/>
          <w:sz w:val="32"/>
          <w:szCs w:val="32"/>
          <w:lang w:val="es-CR"/>
        </w:rPr>
      </w:pPr>
    </w:p>
    <w:p w14:paraId="7B447720" w14:textId="6939F13E" w:rsidR="006B3617" w:rsidRPr="00DF4A2D" w:rsidRDefault="006B3617">
      <w:pPr>
        <w:rPr>
          <w:rFonts w:ascii="Calibri" w:eastAsia="Calibri" w:hAnsi="Calibri" w:cs="Calibri"/>
          <w:lang w:val="es-CR"/>
        </w:rPr>
      </w:pPr>
      <w:r w:rsidRPr="00DF4A2D">
        <w:rPr>
          <w:noProof/>
          <w:lang w:val="en-US"/>
        </w:rPr>
        <w:drawing>
          <wp:inline distT="0" distB="0" distL="0" distR="0" wp14:anchorId="3242261C" wp14:editId="2EBCE088">
            <wp:extent cx="2216150" cy="750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3938" cy="800900"/>
                    </a:xfrm>
                    <a:prstGeom prst="rect">
                      <a:avLst/>
                    </a:prstGeom>
                  </pic:spPr>
                </pic:pic>
              </a:graphicData>
            </a:graphic>
          </wp:inline>
        </w:drawing>
      </w:r>
    </w:p>
    <w:p w14:paraId="4BFEEE1E" w14:textId="6D968838" w:rsidR="006B3617" w:rsidRPr="00DF4A2D" w:rsidRDefault="006B3617">
      <w:pPr>
        <w:rPr>
          <w:rFonts w:ascii="Calibri" w:eastAsia="Calibri" w:hAnsi="Calibri" w:cs="Calibri"/>
          <w:lang w:val="es-CR"/>
        </w:rPr>
      </w:pPr>
    </w:p>
    <w:p w14:paraId="44D0A32D" w14:textId="64344DF0" w:rsidR="006B3617" w:rsidRPr="00DF4A2D" w:rsidRDefault="006B3617" w:rsidP="006B3617">
      <w:pPr>
        <w:spacing w:line="240" w:lineRule="auto"/>
        <w:jc w:val="both"/>
        <w:rPr>
          <w:rFonts w:ascii="Calibri" w:eastAsia="Calibri" w:hAnsi="Calibri" w:cs="Calibri"/>
          <w:lang w:val="es-CR"/>
        </w:rPr>
      </w:pPr>
      <w:r w:rsidRPr="00DF4A2D">
        <w:rPr>
          <w:rFonts w:ascii="Calibri" w:eastAsia="Calibri" w:hAnsi="Calibri" w:cs="Calibri"/>
          <w:lang w:val="es-CR"/>
        </w:rPr>
        <w:t xml:space="preserve">ECPAT International desarrolló </w:t>
      </w:r>
      <w:hyperlink r:id="rId11" w:history="1">
        <w:r w:rsidRPr="00DF4A2D">
          <w:rPr>
            <w:rFonts w:ascii="Calibri" w:eastAsia="Calibri" w:hAnsi="Calibri" w:cs="Calibri"/>
            <w:color w:val="0000FF" w:themeColor="hyperlink"/>
            <w:u w:val="single"/>
            <w:lang w:val="es-CR"/>
          </w:rPr>
          <w:t>una lista de verificación legal</w:t>
        </w:r>
      </w:hyperlink>
      <w:r w:rsidRPr="00DF4A2D">
        <w:rPr>
          <w:rFonts w:ascii="Calibri" w:eastAsia="Calibri" w:hAnsi="Calibri" w:cs="Calibri"/>
          <w:lang w:val="es-CR"/>
        </w:rPr>
        <w:t xml:space="preserve"> para los gobiernos que brinda orientación </w:t>
      </w:r>
      <w:r w:rsidR="00C8327E" w:rsidRPr="00DF4A2D">
        <w:rPr>
          <w:rFonts w:ascii="Calibri" w:eastAsia="Calibri" w:hAnsi="Calibri" w:cs="Calibri"/>
          <w:lang w:val="es-CR"/>
        </w:rPr>
        <w:t>sobre</w:t>
      </w:r>
      <w:r w:rsidRPr="00DF4A2D">
        <w:rPr>
          <w:rFonts w:ascii="Calibri" w:eastAsia="Calibri" w:hAnsi="Calibri" w:cs="Calibri"/>
          <w:lang w:val="es-CR"/>
        </w:rPr>
        <w:t xml:space="preserve"> las intervenciones legales y las medidas </w:t>
      </w:r>
      <w:r w:rsidR="00C8327E" w:rsidRPr="00DF4A2D">
        <w:rPr>
          <w:rFonts w:ascii="Calibri" w:eastAsia="Calibri" w:hAnsi="Calibri" w:cs="Calibri"/>
          <w:lang w:val="es-CR"/>
        </w:rPr>
        <w:t>por</w:t>
      </w:r>
      <w:r w:rsidRPr="00DF4A2D">
        <w:rPr>
          <w:rFonts w:ascii="Calibri" w:eastAsia="Calibri" w:hAnsi="Calibri" w:cs="Calibri"/>
          <w:lang w:val="es-CR"/>
        </w:rPr>
        <w:t xml:space="preserve"> adoptar para mejorar sus marcos legales nacionales </w:t>
      </w:r>
      <w:r w:rsidR="00C8327E" w:rsidRPr="00DF4A2D">
        <w:rPr>
          <w:rFonts w:ascii="Calibri" w:eastAsia="Calibri" w:hAnsi="Calibri" w:cs="Calibri"/>
          <w:lang w:val="es-CR"/>
        </w:rPr>
        <w:t>y</w:t>
      </w:r>
      <w:r w:rsidRPr="00DF4A2D">
        <w:rPr>
          <w:rFonts w:ascii="Calibri" w:eastAsia="Calibri" w:hAnsi="Calibri" w:cs="Calibri"/>
          <w:lang w:val="es-CR"/>
        </w:rPr>
        <w:t xml:space="preserve"> abordar de manera más efectiva el delito de explotación sexual de niños, niñas y adolescentes en los viajes y el turismo, junto con sus elementos en línea.</w:t>
      </w:r>
    </w:p>
    <w:p w14:paraId="1310C214" w14:textId="77777777" w:rsidR="006B3617" w:rsidRPr="00DF4A2D" w:rsidRDefault="006B3617" w:rsidP="006B3617">
      <w:pPr>
        <w:spacing w:line="240" w:lineRule="auto"/>
        <w:jc w:val="both"/>
        <w:rPr>
          <w:rFonts w:ascii="Calibri" w:eastAsia="Calibri" w:hAnsi="Calibri" w:cs="Calibri"/>
          <w:lang w:val="es-CR"/>
        </w:rPr>
      </w:pPr>
    </w:p>
    <w:p w14:paraId="04F22CBF" w14:textId="7D9E9408" w:rsidR="006B3617" w:rsidRPr="00DF4A2D" w:rsidRDefault="006B3617" w:rsidP="006B3617">
      <w:pPr>
        <w:spacing w:line="240" w:lineRule="auto"/>
        <w:jc w:val="both"/>
        <w:rPr>
          <w:rFonts w:ascii="Calibri" w:eastAsia="Calibri" w:hAnsi="Calibri" w:cs="Calibri"/>
          <w:lang w:val="es-CR"/>
        </w:rPr>
      </w:pPr>
      <w:r w:rsidRPr="00DF4A2D">
        <w:rPr>
          <w:rFonts w:ascii="Calibri" w:eastAsia="Calibri" w:hAnsi="Calibri" w:cs="Calibri"/>
          <w:lang w:val="es-CR"/>
        </w:rPr>
        <w:t xml:space="preserve">La lista de verificación legal se desarrolló sobre la base de las recomendaciones del primer </w:t>
      </w:r>
      <w:hyperlink r:id="rId12" w:history="1">
        <w:r w:rsidRPr="00DF4A2D">
          <w:rPr>
            <w:rFonts w:ascii="Calibri" w:eastAsia="Calibri" w:hAnsi="Calibri" w:cs="Calibri"/>
            <w:color w:val="0000FF" w:themeColor="hyperlink"/>
            <w:u w:val="single"/>
            <w:lang w:val="es-CR"/>
          </w:rPr>
          <w:t>Estudio Global</w:t>
        </w:r>
      </w:hyperlink>
      <w:r w:rsidRPr="00DF4A2D">
        <w:rPr>
          <w:rFonts w:ascii="Calibri" w:eastAsia="Calibri" w:hAnsi="Calibri" w:cs="Calibri"/>
          <w:lang w:val="es-CR"/>
        </w:rPr>
        <w:t xml:space="preserve"> sobre la explotación sexual de niños, niñas y adolescentes en el contexto de los viajes y el turismo. Tras el desarrollo de esta lista de verificación legal, ECPAT International llevó a cabo un análisis de país para </w:t>
      </w:r>
      <w:r w:rsidR="002969D6">
        <w:rPr>
          <w:rFonts w:ascii="Calibri" w:eastAsia="Calibri" w:hAnsi="Calibri" w:cs="Calibri"/>
          <w:lang w:val="es-CR"/>
        </w:rPr>
        <w:t>República Dominicana</w:t>
      </w:r>
      <w:r w:rsidRPr="00DF4A2D">
        <w:rPr>
          <w:rFonts w:ascii="Calibri" w:eastAsia="Calibri" w:hAnsi="Calibri" w:cs="Calibri"/>
          <w:lang w:val="es-CR"/>
        </w:rPr>
        <w:t xml:space="preserve"> y otros países de</w:t>
      </w:r>
      <w:r w:rsidR="002969D6">
        <w:rPr>
          <w:rFonts w:ascii="Calibri" w:eastAsia="Calibri" w:hAnsi="Calibri" w:cs="Calibri"/>
          <w:lang w:val="es-CR"/>
        </w:rPr>
        <w:t xml:space="preserve"> las Américas, así como de África, y d</w:t>
      </w:r>
      <w:r w:rsidRPr="00DF4A2D">
        <w:rPr>
          <w:rFonts w:ascii="Calibri" w:eastAsia="Calibri" w:hAnsi="Calibri" w:cs="Calibri"/>
          <w:lang w:val="es-CR"/>
        </w:rPr>
        <w:t>el sude</w:t>
      </w:r>
      <w:r w:rsidR="002969D6">
        <w:rPr>
          <w:rFonts w:ascii="Calibri" w:eastAsia="Calibri" w:hAnsi="Calibri" w:cs="Calibri"/>
          <w:lang w:val="es-CR"/>
        </w:rPr>
        <w:t>ste de Asia</w:t>
      </w:r>
      <w:r w:rsidRPr="00DF4A2D">
        <w:rPr>
          <w:rFonts w:ascii="Calibri" w:eastAsia="Calibri" w:hAnsi="Calibri" w:cs="Calibri"/>
          <w:lang w:val="es-CR"/>
        </w:rPr>
        <w:t>.</w:t>
      </w:r>
    </w:p>
    <w:p w14:paraId="59AB46B2" w14:textId="77777777" w:rsidR="006B3617" w:rsidRPr="00DF4A2D" w:rsidRDefault="006B3617" w:rsidP="006B3617">
      <w:pPr>
        <w:spacing w:line="240" w:lineRule="auto"/>
        <w:jc w:val="both"/>
        <w:rPr>
          <w:rFonts w:ascii="Calibri" w:eastAsia="Calibri" w:hAnsi="Calibri" w:cs="Calibri"/>
          <w:lang w:val="es-CR"/>
        </w:rPr>
      </w:pPr>
    </w:p>
    <w:p w14:paraId="1AC3F40E" w14:textId="70678A4E" w:rsidR="006B3617" w:rsidRPr="00DF4A2D" w:rsidRDefault="006B3617" w:rsidP="006B3617">
      <w:pPr>
        <w:spacing w:line="240" w:lineRule="auto"/>
        <w:jc w:val="both"/>
        <w:rPr>
          <w:rFonts w:ascii="Calibri" w:eastAsia="Calibri" w:hAnsi="Calibri" w:cs="Calibri"/>
          <w:lang w:val="es-CR"/>
        </w:rPr>
      </w:pPr>
      <w:r w:rsidRPr="00DF4A2D">
        <w:rPr>
          <w:rFonts w:ascii="Calibri" w:eastAsia="Calibri" w:hAnsi="Calibri" w:cs="Calibri"/>
          <w:lang w:val="es-CR"/>
        </w:rPr>
        <w:t>Los análisis de países sirven como base para indicar y rastrear el estado de implementación de las intervenciones legales dentro y entre las cuatro regiones. Proporcionan a los gobiernos instrucciones claras para mejorar sus acciones con respecto a la protección</w:t>
      </w:r>
      <w:r w:rsidR="00C8327E" w:rsidRPr="00DF4A2D">
        <w:rPr>
          <w:rFonts w:ascii="Calibri" w:eastAsia="Calibri" w:hAnsi="Calibri" w:cs="Calibri"/>
          <w:lang w:val="es-CR"/>
        </w:rPr>
        <w:t xml:space="preserve"> de las personas menores de edad</w:t>
      </w:r>
      <w:r w:rsidRPr="00DF4A2D">
        <w:rPr>
          <w:rFonts w:ascii="Calibri" w:eastAsia="Calibri" w:hAnsi="Calibri" w:cs="Calibri"/>
          <w:lang w:val="es-CR"/>
        </w:rPr>
        <w:t xml:space="preserve"> contra la explotación sexual en el contexto de los viajes y el turismo, incluidos sus elementos en línea.</w:t>
      </w:r>
    </w:p>
    <w:p w14:paraId="6A768B4F" w14:textId="77777777" w:rsidR="006B3617" w:rsidRPr="00DF4A2D" w:rsidRDefault="006B3617" w:rsidP="006B3617">
      <w:pPr>
        <w:spacing w:line="240" w:lineRule="auto"/>
        <w:jc w:val="both"/>
        <w:rPr>
          <w:rFonts w:ascii="Calibri" w:eastAsia="Calibri" w:hAnsi="Calibri" w:cs="Calibri"/>
          <w:lang w:val="es-CR"/>
        </w:rPr>
      </w:pPr>
    </w:p>
    <w:p w14:paraId="60CB47D0" w14:textId="77777777" w:rsidR="006B3617" w:rsidRPr="00DF4A2D" w:rsidRDefault="006B3617" w:rsidP="006B3617">
      <w:pPr>
        <w:widowControl w:val="0"/>
        <w:spacing w:line="240" w:lineRule="auto"/>
        <w:jc w:val="both"/>
        <w:rPr>
          <w:rFonts w:ascii="Calibri" w:eastAsia="Calibri" w:hAnsi="Calibri" w:cs="Calibri"/>
          <w:lang w:val="es-CR" w:eastAsia="es-NI"/>
        </w:rPr>
      </w:pPr>
      <w:r w:rsidRPr="00DF4A2D">
        <w:rPr>
          <w:rFonts w:ascii="Calibri" w:eastAsia="Calibri" w:hAnsi="Calibri" w:cs="Calibri"/>
          <w:lang w:val="es-CR"/>
        </w:rPr>
        <w:t xml:space="preserve">La siguiente tabla permite evaluar fácilmente la legislación existente en comparación con las 24 medidas de la lista de verificación legal. Se actualizará a medida que cambien las leyes y políticas. Se pueden consultar la </w:t>
      </w:r>
      <w:hyperlink r:id="rId13" w:history="1">
        <w:r w:rsidRPr="00DF4A2D">
          <w:rPr>
            <w:rFonts w:ascii="Calibri" w:eastAsia="Calibri" w:hAnsi="Calibri" w:cs="Calibri"/>
            <w:color w:val="0000FF" w:themeColor="hyperlink"/>
            <w:u w:val="single"/>
            <w:lang w:val="es-CR"/>
          </w:rPr>
          <w:t>nota explicativa</w:t>
        </w:r>
      </w:hyperlink>
      <w:r w:rsidRPr="00DF4A2D">
        <w:rPr>
          <w:rFonts w:ascii="Calibri" w:eastAsia="Calibri" w:hAnsi="Calibri" w:cs="Calibri"/>
          <w:lang w:val="es-CR"/>
        </w:rPr>
        <w:t xml:space="preserve"> y la </w:t>
      </w:r>
      <w:hyperlink r:id="rId14" w:history="1">
        <w:r w:rsidRPr="00DF4A2D">
          <w:rPr>
            <w:rFonts w:ascii="Calibri" w:eastAsia="Calibri" w:hAnsi="Calibri" w:cs="Calibri"/>
            <w:color w:val="0000FF" w:themeColor="hyperlink"/>
            <w:u w:val="single"/>
            <w:lang w:val="es-CR"/>
          </w:rPr>
          <w:t>matriz de evaluación</w:t>
        </w:r>
      </w:hyperlink>
      <w:r w:rsidRPr="00DF4A2D">
        <w:rPr>
          <w:rFonts w:ascii="Calibri" w:eastAsia="Calibri" w:hAnsi="Calibri" w:cs="Calibri"/>
          <w:lang w:val="es-CR"/>
        </w:rPr>
        <w:t xml:space="preserve"> para mayor referencia. </w:t>
      </w:r>
    </w:p>
    <w:p w14:paraId="42F4CFB1" w14:textId="77777777" w:rsidR="006B3617" w:rsidRPr="00DF4A2D" w:rsidRDefault="006B3617">
      <w:pPr>
        <w:rPr>
          <w:rFonts w:ascii="Calibri" w:eastAsia="Calibri" w:hAnsi="Calibri" w:cs="Calibri"/>
          <w:lang w:val="es-CR"/>
        </w:rPr>
      </w:pPr>
    </w:p>
    <w:p w14:paraId="3D2CB310" w14:textId="77777777" w:rsidR="007B6F44" w:rsidRPr="00DF4A2D" w:rsidRDefault="007B6F44">
      <w:pPr>
        <w:rPr>
          <w:rFonts w:ascii="Calibri" w:eastAsia="Calibri" w:hAnsi="Calibri" w:cs="Calibri"/>
          <w:lang w:val="es-CR"/>
        </w:rPr>
      </w:pPr>
    </w:p>
    <w:tbl>
      <w:tblPr>
        <w:tblStyle w:val="a1"/>
        <w:tblW w:w="1023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690"/>
        <w:gridCol w:w="915"/>
        <w:gridCol w:w="5100"/>
      </w:tblGrid>
      <w:tr w:rsidR="007B6F44" w:rsidRPr="00DF4A2D" w14:paraId="21580DBD" w14:textId="77777777" w:rsidTr="00C92BE3">
        <w:tc>
          <w:tcPr>
            <w:tcW w:w="525" w:type="dxa"/>
            <w:shd w:val="clear" w:color="auto" w:fill="auto"/>
            <w:tcMar>
              <w:top w:w="100" w:type="dxa"/>
              <w:left w:w="100" w:type="dxa"/>
              <w:bottom w:w="100" w:type="dxa"/>
              <w:right w:w="100" w:type="dxa"/>
            </w:tcMar>
          </w:tcPr>
          <w:p w14:paraId="76DE4320" w14:textId="77777777" w:rsidR="007B6F44" w:rsidRPr="00DF4A2D" w:rsidRDefault="007B6F44">
            <w:pPr>
              <w:widowControl w:val="0"/>
              <w:pBdr>
                <w:top w:val="nil"/>
                <w:left w:val="nil"/>
                <w:bottom w:val="nil"/>
                <w:right w:val="nil"/>
                <w:between w:val="nil"/>
              </w:pBdr>
              <w:spacing w:line="240" w:lineRule="auto"/>
              <w:rPr>
                <w:rFonts w:ascii="Calibri" w:eastAsia="Calibri" w:hAnsi="Calibri" w:cs="Calibri"/>
                <w:lang w:val="es-CR"/>
              </w:rPr>
            </w:pPr>
          </w:p>
        </w:tc>
        <w:tc>
          <w:tcPr>
            <w:tcW w:w="3690" w:type="dxa"/>
            <w:shd w:val="clear" w:color="auto" w:fill="auto"/>
            <w:tcMar>
              <w:top w:w="100" w:type="dxa"/>
              <w:left w:w="100" w:type="dxa"/>
              <w:bottom w:w="100" w:type="dxa"/>
              <w:right w:w="100" w:type="dxa"/>
            </w:tcMar>
          </w:tcPr>
          <w:p w14:paraId="47C22C6B" w14:textId="77777777" w:rsidR="007B6F44" w:rsidRPr="00DF4A2D" w:rsidRDefault="00E727AB">
            <w:pPr>
              <w:widowControl w:val="0"/>
              <w:pBdr>
                <w:top w:val="nil"/>
                <w:left w:val="nil"/>
                <w:bottom w:val="nil"/>
                <w:right w:val="nil"/>
                <w:between w:val="nil"/>
              </w:pBdr>
              <w:spacing w:line="240" w:lineRule="auto"/>
              <w:rPr>
                <w:rFonts w:ascii="Calibri" w:eastAsia="Calibri" w:hAnsi="Calibri" w:cs="Calibri"/>
                <w:b/>
                <w:lang w:val="es-CR"/>
              </w:rPr>
            </w:pPr>
            <w:r w:rsidRPr="00DF4A2D">
              <w:rPr>
                <w:rFonts w:ascii="Calibri" w:eastAsia="Calibri" w:hAnsi="Calibri" w:cs="Calibri"/>
                <w:b/>
                <w:lang w:val="es-CR"/>
              </w:rPr>
              <w:t>Recomendaciones</w:t>
            </w:r>
          </w:p>
        </w:tc>
        <w:tc>
          <w:tcPr>
            <w:tcW w:w="915" w:type="dxa"/>
            <w:shd w:val="clear" w:color="auto" w:fill="auto"/>
            <w:tcMar>
              <w:top w:w="100" w:type="dxa"/>
              <w:left w:w="100" w:type="dxa"/>
              <w:bottom w:w="100" w:type="dxa"/>
              <w:right w:w="100" w:type="dxa"/>
            </w:tcMar>
          </w:tcPr>
          <w:p w14:paraId="7F2EE035" w14:textId="77777777" w:rsidR="007B6F44" w:rsidRPr="00DF4A2D" w:rsidRDefault="00E727AB">
            <w:pPr>
              <w:widowControl w:val="0"/>
              <w:pBdr>
                <w:top w:val="nil"/>
                <w:left w:val="nil"/>
                <w:bottom w:val="nil"/>
                <w:right w:val="nil"/>
                <w:between w:val="nil"/>
              </w:pBdr>
              <w:spacing w:line="240" w:lineRule="auto"/>
              <w:rPr>
                <w:rFonts w:ascii="Calibri" w:eastAsia="Calibri" w:hAnsi="Calibri" w:cs="Calibri"/>
                <w:b/>
                <w:lang w:val="es-CR"/>
              </w:rPr>
            </w:pPr>
            <w:r w:rsidRPr="00DF4A2D">
              <w:rPr>
                <w:rFonts w:ascii="Calibri" w:eastAsia="Calibri" w:hAnsi="Calibri" w:cs="Calibri"/>
                <w:b/>
                <w:lang w:val="es-CR"/>
              </w:rPr>
              <w:t>Implementado</w:t>
            </w:r>
          </w:p>
        </w:tc>
        <w:tc>
          <w:tcPr>
            <w:tcW w:w="5100" w:type="dxa"/>
            <w:shd w:val="clear" w:color="auto" w:fill="auto"/>
            <w:tcMar>
              <w:top w:w="100" w:type="dxa"/>
              <w:left w:w="100" w:type="dxa"/>
              <w:bottom w:w="100" w:type="dxa"/>
              <w:right w:w="100" w:type="dxa"/>
            </w:tcMar>
          </w:tcPr>
          <w:p w14:paraId="445C3B34" w14:textId="77777777" w:rsidR="007B6F44" w:rsidRPr="00DF4A2D" w:rsidRDefault="00E727AB">
            <w:pPr>
              <w:widowControl w:val="0"/>
              <w:pBdr>
                <w:top w:val="nil"/>
                <w:left w:val="nil"/>
                <w:bottom w:val="nil"/>
                <w:right w:val="nil"/>
                <w:between w:val="nil"/>
              </w:pBdr>
              <w:spacing w:line="240" w:lineRule="auto"/>
              <w:rPr>
                <w:rFonts w:ascii="Calibri" w:eastAsia="Calibri" w:hAnsi="Calibri" w:cs="Calibri"/>
                <w:b/>
                <w:lang w:val="es-CR"/>
              </w:rPr>
            </w:pPr>
            <w:r w:rsidRPr="00DF4A2D">
              <w:rPr>
                <w:rFonts w:ascii="Calibri" w:eastAsia="Calibri" w:hAnsi="Calibri" w:cs="Calibri"/>
                <w:b/>
                <w:lang w:val="es-CR"/>
              </w:rPr>
              <w:t>Legislación</w:t>
            </w:r>
          </w:p>
        </w:tc>
      </w:tr>
      <w:tr w:rsidR="006B3617" w:rsidRPr="00DF4A2D" w14:paraId="1B102535" w14:textId="77777777" w:rsidTr="00C92BE3">
        <w:tc>
          <w:tcPr>
            <w:tcW w:w="525" w:type="dxa"/>
            <w:shd w:val="clear" w:color="auto" w:fill="auto"/>
            <w:tcMar>
              <w:top w:w="100" w:type="dxa"/>
              <w:left w:w="100" w:type="dxa"/>
              <w:bottom w:w="100" w:type="dxa"/>
              <w:right w:w="100" w:type="dxa"/>
            </w:tcMar>
          </w:tcPr>
          <w:p w14:paraId="4A13C8F4"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1.</w:t>
            </w:r>
          </w:p>
        </w:tc>
        <w:tc>
          <w:tcPr>
            <w:tcW w:w="3690" w:type="dxa"/>
            <w:shd w:val="clear" w:color="auto" w:fill="auto"/>
            <w:tcMar>
              <w:top w:w="100" w:type="dxa"/>
              <w:left w:w="100" w:type="dxa"/>
              <w:bottom w:w="100" w:type="dxa"/>
              <w:right w:w="100" w:type="dxa"/>
            </w:tcMar>
          </w:tcPr>
          <w:p w14:paraId="184A755A" w14:textId="2A16B8A6"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Establecer por ley </w:t>
            </w:r>
            <w:r w:rsidRPr="00DF4A2D">
              <w:rPr>
                <w:rFonts w:ascii="Calibri" w:eastAsia="Calibri" w:hAnsi="Calibri" w:cs="Calibri"/>
                <w:b/>
                <w:lang w:val="es-CR"/>
              </w:rPr>
              <w:t>la jurisdicción extraterritorial</w:t>
            </w:r>
            <w:r w:rsidRPr="00DF4A2D">
              <w:rPr>
                <w:rFonts w:ascii="Calibri" w:eastAsia="Calibri" w:hAnsi="Calibri" w:cs="Calibri"/>
                <w:lang w:val="es-CR"/>
              </w:rPr>
              <w:t xml:space="preserve">, dentro de los parámetros del Artículo 4 del </w:t>
            </w:r>
            <w:r w:rsidR="00920682" w:rsidRPr="00DF4A2D">
              <w:rPr>
                <w:rFonts w:ascii="Calibri" w:eastAsia="Calibri" w:hAnsi="Calibri" w:cs="Calibri"/>
                <w:lang w:val="es-CR"/>
              </w:rPr>
              <w:t>Protocolo Facultativo</w:t>
            </w:r>
            <w:r w:rsidR="00920682" w:rsidRPr="00DF4A2D">
              <w:rPr>
                <w:rFonts w:ascii="Calibri" w:eastAsia="Calibri" w:hAnsi="Calibri" w:cs="Calibri"/>
                <w:b/>
                <w:bCs/>
                <w:lang w:val="es-CR"/>
              </w:rPr>
              <w:t>*</w:t>
            </w:r>
            <w:r w:rsidRPr="00DF4A2D">
              <w:rPr>
                <w:rFonts w:ascii="Calibri" w:eastAsia="Calibri" w:hAnsi="Calibri" w:cs="Calibri"/>
                <w:lang w:val="es-CR"/>
              </w:rPr>
              <w:t xml:space="preserve">, </w:t>
            </w:r>
          </w:p>
          <w:p w14:paraId="5C8203E1" w14:textId="77777777" w:rsidR="00920682" w:rsidRPr="00DF4A2D" w:rsidRDefault="006B3617" w:rsidP="00920682">
            <w:pPr>
              <w:spacing w:line="240" w:lineRule="auto"/>
              <w:rPr>
                <w:rFonts w:ascii="Calibri" w:eastAsia="Calibri" w:hAnsi="Calibri" w:cs="Calibri"/>
                <w:lang w:val="es-CR"/>
              </w:rPr>
            </w:pPr>
            <w:r w:rsidRPr="00DF4A2D">
              <w:rPr>
                <w:rFonts w:ascii="Calibri" w:eastAsia="Calibri" w:hAnsi="Calibri" w:cs="Calibri"/>
                <w:lang w:val="es-CR"/>
              </w:rPr>
              <w:t>para todos los delitos de explotación sexual de niñas, niños y adolescentes, incluyendo aquellos que se producen en línea.</w:t>
            </w:r>
            <w:r w:rsidR="009137A4" w:rsidRPr="00DF4A2D">
              <w:rPr>
                <w:rFonts w:ascii="Calibri" w:eastAsia="Calibri" w:hAnsi="Calibri" w:cs="Calibri"/>
                <w:lang w:val="es-CR"/>
              </w:rPr>
              <w:br/>
            </w:r>
          </w:p>
          <w:p w14:paraId="74110271" w14:textId="1EFED64A" w:rsidR="006B3617" w:rsidRPr="00DF4A2D" w:rsidRDefault="00920682" w:rsidP="009137A4">
            <w:pPr>
              <w:spacing w:line="240" w:lineRule="auto"/>
              <w:rPr>
                <w:rFonts w:ascii="Calibri" w:eastAsia="Calibri" w:hAnsi="Calibri" w:cs="Calibri"/>
                <w:bCs/>
                <w:i/>
                <w:iCs/>
                <w:sz w:val="20"/>
                <w:szCs w:val="20"/>
                <w:lang w:val="es-CR"/>
              </w:rPr>
            </w:pPr>
            <w:r w:rsidRPr="00DF4A2D">
              <w:rPr>
                <w:rFonts w:ascii="Calibri" w:eastAsia="Calibri" w:hAnsi="Calibri" w:cs="Calibri"/>
                <w:bCs/>
                <w:i/>
                <w:iCs/>
                <w:sz w:val="20"/>
                <w:szCs w:val="20"/>
                <w:lang w:val="es-CR"/>
              </w:rPr>
              <w:t>*</w:t>
            </w:r>
            <w:r w:rsidR="00060025" w:rsidRPr="00DF4A2D">
              <w:rPr>
                <w:rFonts w:ascii="Calibri" w:eastAsia="Calibri" w:hAnsi="Calibri" w:cs="Calibri"/>
                <w:bCs/>
                <w:i/>
                <w:iCs/>
                <w:sz w:val="20"/>
                <w:szCs w:val="20"/>
                <w:lang w:val="es-CR"/>
              </w:rPr>
              <w:t xml:space="preserve"> </w:t>
            </w:r>
            <w:r w:rsidRPr="00DF4A2D">
              <w:rPr>
                <w:rFonts w:ascii="Calibri" w:eastAsia="Calibri" w:hAnsi="Calibri" w:cs="Calibri"/>
                <w:bCs/>
                <w:i/>
                <w:iCs/>
                <w:sz w:val="20"/>
                <w:szCs w:val="20"/>
                <w:lang w:val="es-CR"/>
              </w:rPr>
              <w:t>Protocolo facultativo de la Convención sobre los Derechos del Niño relativo a la venta de niños, la prostitución infantil y la utilización de niños en la pornografía.</w:t>
            </w:r>
          </w:p>
        </w:tc>
        <w:tc>
          <w:tcPr>
            <w:tcW w:w="915" w:type="dxa"/>
            <w:shd w:val="clear" w:color="auto" w:fill="auto"/>
            <w:tcMar>
              <w:top w:w="100" w:type="dxa"/>
              <w:left w:w="100" w:type="dxa"/>
              <w:bottom w:w="100" w:type="dxa"/>
              <w:right w:w="100" w:type="dxa"/>
            </w:tcMar>
          </w:tcPr>
          <w:p w14:paraId="4B97A608" w14:textId="782B8ACB" w:rsidR="006B3617" w:rsidRPr="00DF4A2D" w:rsidRDefault="00367EDC"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53DD0DE6" w14:textId="28DFE959" w:rsidR="00367EDC" w:rsidRPr="00DF4A2D" w:rsidRDefault="00A74ADB" w:rsidP="00367EDC">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lang w:val="es-CR"/>
              </w:rPr>
              <w:t>E</w:t>
            </w:r>
            <w:r w:rsidR="00367EDC" w:rsidRPr="00DF4A2D">
              <w:rPr>
                <w:rFonts w:ascii="Calibri" w:eastAsia="Calibri" w:hAnsi="Calibri" w:cs="Calibri"/>
                <w:lang w:val="es-CR"/>
              </w:rPr>
              <w:t>l Código Penal no recoge la aplicación extraterritorial de la ley penal de República Dominicana para los delitos de explotación sexual de NNA, salvo para el delito de explotación de NNA en el artículo 334-1 del Código Penal que prevé la acción penal aun cuando los actos constitutivos de este delito hayan sido realizados en diferentes países.</w:t>
            </w:r>
          </w:p>
          <w:p w14:paraId="1FDA76E6"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DF4A2D" w14:paraId="067BD057" w14:textId="77777777" w:rsidTr="00C92BE3">
        <w:tc>
          <w:tcPr>
            <w:tcW w:w="525" w:type="dxa"/>
            <w:shd w:val="clear" w:color="auto" w:fill="auto"/>
            <w:tcMar>
              <w:top w:w="100" w:type="dxa"/>
              <w:left w:w="100" w:type="dxa"/>
              <w:bottom w:w="100" w:type="dxa"/>
              <w:right w:w="100" w:type="dxa"/>
            </w:tcMar>
          </w:tcPr>
          <w:p w14:paraId="557018F3"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2.</w:t>
            </w:r>
          </w:p>
        </w:tc>
        <w:tc>
          <w:tcPr>
            <w:tcW w:w="3690" w:type="dxa"/>
            <w:shd w:val="clear" w:color="auto" w:fill="auto"/>
            <w:tcMar>
              <w:top w:w="100" w:type="dxa"/>
              <w:left w:w="100" w:type="dxa"/>
              <w:bottom w:w="100" w:type="dxa"/>
              <w:right w:w="100" w:type="dxa"/>
            </w:tcMar>
          </w:tcPr>
          <w:p w14:paraId="598E9D71"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Incluir en los </w:t>
            </w:r>
            <w:r w:rsidRPr="00DF4A2D">
              <w:rPr>
                <w:rFonts w:ascii="Calibri" w:eastAsia="Calibri" w:hAnsi="Calibri" w:cs="Calibri"/>
                <w:b/>
                <w:lang w:val="es-CR"/>
              </w:rPr>
              <w:t>tratados de extradición</w:t>
            </w:r>
            <w:r w:rsidRPr="00DF4A2D">
              <w:rPr>
                <w:rFonts w:ascii="Calibri" w:eastAsia="Calibri" w:hAnsi="Calibri" w:cs="Calibri"/>
                <w:lang w:val="es-CR"/>
              </w:rPr>
              <w:t xml:space="preserve"> la explotación sexual de las niñas, niños y adolescentes como </w:t>
            </w:r>
          </w:p>
          <w:p w14:paraId="487A130B" w14:textId="4F3ACE25"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delitos extraditables y, cuando corresponda, aplicar las disposiciones del Artículo 5 del OPSC, independientemente de la nacionalidad del (presunto) delincuente.</w:t>
            </w:r>
          </w:p>
        </w:tc>
        <w:tc>
          <w:tcPr>
            <w:tcW w:w="915" w:type="dxa"/>
            <w:shd w:val="clear" w:color="auto" w:fill="auto"/>
            <w:tcMar>
              <w:top w:w="100" w:type="dxa"/>
              <w:left w:w="100" w:type="dxa"/>
              <w:bottom w:w="100" w:type="dxa"/>
              <w:right w:w="100" w:type="dxa"/>
            </w:tcMar>
          </w:tcPr>
          <w:p w14:paraId="0E397500"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Parcialmente</w:t>
            </w:r>
          </w:p>
        </w:tc>
        <w:tc>
          <w:tcPr>
            <w:tcW w:w="5100" w:type="dxa"/>
            <w:shd w:val="clear" w:color="auto" w:fill="auto"/>
            <w:tcMar>
              <w:top w:w="100" w:type="dxa"/>
              <w:left w:w="100" w:type="dxa"/>
              <w:bottom w:w="100" w:type="dxa"/>
              <w:right w:w="100" w:type="dxa"/>
            </w:tcMar>
          </w:tcPr>
          <w:p w14:paraId="203E0FED" w14:textId="0A2AD673" w:rsidR="00367EDC" w:rsidRPr="00DF4A2D" w:rsidRDefault="00367EDC" w:rsidP="00367EDC">
            <w:pPr>
              <w:widowControl w:val="0"/>
              <w:spacing w:line="240" w:lineRule="auto"/>
              <w:rPr>
                <w:rFonts w:ascii="Calibri" w:eastAsia="Calibri" w:hAnsi="Calibri" w:cs="Calibri"/>
                <w:lang w:val="es-CR"/>
              </w:rPr>
            </w:pPr>
            <w:r w:rsidRPr="00DF4A2D">
              <w:rPr>
                <w:rFonts w:ascii="Calibri" w:eastAsia="Calibri" w:hAnsi="Calibri" w:cs="Calibri"/>
                <w:lang w:val="es-CR"/>
              </w:rPr>
              <w:t>La extradición se rige por la Constitución,</w:t>
            </w:r>
            <w:r w:rsidRPr="00DF4A2D">
              <w:rPr>
                <w:rFonts w:ascii="Calibri" w:eastAsia="Calibri" w:hAnsi="Calibri" w:cs="Calibri"/>
                <w:lang w:val="es-CR" w:eastAsia="es-ES"/>
              </w:rPr>
              <w:t xml:space="preserve"> </w:t>
            </w:r>
            <w:r w:rsidRPr="00DF4A2D">
              <w:rPr>
                <w:rFonts w:ascii="Calibri" w:eastAsia="Calibri" w:hAnsi="Calibri" w:cs="Calibri"/>
                <w:lang w:val="es-CR"/>
              </w:rPr>
              <w:t xml:space="preserve">las normas de los tratados y acuerdos adoptados por República Dominicana y </w:t>
            </w:r>
            <w:r w:rsidR="00DF4A2D" w:rsidRPr="00DF4A2D">
              <w:rPr>
                <w:rFonts w:ascii="Calibri" w:eastAsia="Calibri" w:hAnsi="Calibri" w:cs="Calibri"/>
                <w:lang w:val="es-CR"/>
              </w:rPr>
              <w:t xml:space="preserve">por la Ley </w:t>
            </w:r>
            <w:r w:rsidRPr="00DF4A2D">
              <w:rPr>
                <w:rFonts w:ascii="Calibri" w:eastAsia="Calibri" w:hAnsi="Calibri" w:cs="Calibri"/>
                <w:lang w:val="es-CR"/>
              </w:rPr>
              <w:t xml:space="preserve">489 sobre Extradición que </w:t>
            </w:r>
            <w:r w:rsidRPr="00DF4A2D">
              <w:rPr>
                <w:rFonts w:ascii="Calibri" w:eastAsia="Calibri" w:hAnsi="Calibri" w:cs="Calibri"/>
                <w:lang w:val="es-CR"/>
              </w:rPr>
              <w:lastRenderedPageBreak/>
              <w:t xml:space="preserve">establece </w:t>
            </w:r>
            <w:r w:rsidR="00641A1F" w:rsidRPr="00DF4A2D">
              <w:rPr>
                <w:rFonts w:ascii="Calibri" w:eastAsia="Calibri" w:hAnsi="Calibri" w:cs="Calibri"/>
                <w:lang w:val="es-CR"/>
              </w:rPr>
              <w:t xml:space="preserve">en su artículo 5 </w:t>
            </w:r>
            <w:r w:rsidRPr="00DF4A2D">
              <w:rPr>
                <w:rFonts w:ascii="Calibri" w:eastAsia="Calibri" w:hAnsi="Calibri" w:cs="Calibri"/>
                <w:lang w:val="es-CR"/>
              </w:rPr>
              <w:t xml:space="preserve">el principio de doble </w:t>
            </w:r>
            <w:r w:rsidR="00641A1F" w:rsidRPr="00DF4A2D">
              <w:rPr>
                <w:rFonts w:ascii="Calibri" w:eastAsia="Calibri" w:hAnsi="Calibri" w:cs="Calibri"/>
                <w:lang w:val="es-CR"/>
              </w:rPr>
              <w:t>criminalidad</w:t>
            </w:r>
            <w:r w:rsidRPr="00DF4A2D">
              <w:rPr>
                <w:rFonts w:ascii="Calibri" w:eastAsia="Calibri" w:hAnsi="Calibri" w:cs="Calibri"/>
                <w:lang w:val="es-CR"/>
              </w:rPr>
              <w:t xml:space="preserve"> y que el delito sea castigado con al menos un año de prisión. </w:t>
            </w:r>
          </w:p>
          <w:p w14:paraId="78B44304" w14:textId="77777777" w:rsidR="00367EDC" w:rsidRPr="00DF4A2D" w:rsidRDefault="00367EDC" w:rsidP="00367EDC">
            <w:pPr>
              <w:widowControl w:val="0"/>
              <w:spacing w:line="240" w:lineRule="auto"/>
              <w:rPr>
                <w:rFonts w:ascii="Calibri" w:eastAsia="Calibri" w:hAnsi="Calibri" w:cs="Calibri"/>
                <w:lang w:val="es-CR"/>
              </w:rPr>
            </w:pPr>
          </w:p>
          <w:p w14:paraId="35D8BA3A" w14:textId="1751A852" w:rsidR="00367EDC" w:rsidRPr="00DF4A2D" w:rsidRDefault="00367EDC" w:rsidP="00367EDC">
            <w:pPr>
              <w:widowControl w:val="0"/>
              <w:spacing w:line="240" w:lineRule="auto"/>
              <w:rPr>
                <w:rFonts w:ascii="Calibri" w:eastAsia="Calibri" w:hAnsi="Calibri" w:cs="Calibri"/>
                <w:lang w:val="es-CR"/>
              </w:rPr>
            </w:pPr>
            <w:r w:rsidRPr="00DF4A2D">
              <w:rPr>
                <w:rFonts w:ascii="Calibri" w:eastAsia="Calibri" w:hAnsi="Calibri" w:cs="Calibri"/>
                <w:lang w:val="es-CR"/>
              </w:rPr>
              <w:t>Más allá de estos requisitos generales</w:t>
            </w:r>
            <w:r w:rsidRPr="00DF4A2D">
              <w:rPr>
                <w:rFonts w:ascii="Calibri" w:eastAsia="Calibri" w:hAnsi="Calibri" w:cs="Calibri"/>
                <w:lang w:val="es-CR" w:eastAsia="es-ES"/>
              </w:rPr>
              <w:t xml:space="preserve"> </w:t>
            </w:r>
            <w:r w:rsidRPr="00DF4A2D">
              <w:rPr>
                <w:rFonts w:ascii="Calibri" w:eastAsia="Calibri" w:hAnsi="Calibri" w:cs="Calibri"/>
                <w:lang w:val="es-CR"/>
              </w:rPr>
              <w:t>la extradición de extranjeros por parte de República Dominicana se limita a la lista contenida en el artículo 8 de la Ley de Extradición, que incluye sólo algunos delitos relacionados con la explotación sexual de NNA: estupro, sustracción de menores y comercio carnal con menores de 12 años.  Por lo que respecta a la extradición de nacionales dominicanos, si bien la Constitución la permite, ésta se limita a los delitos contenidos en los tratados bilaterales o a la lista de delitos contenida en el artículo 4 de la Ley de Extradición, que incluye sólo algunos delitos relacionados con la explotación sexual de NNA: estupro, sustracción o seducción de menores de 15 años y comercio carnal o proxenetismo.</w:t>
            </w:r>
          </w:p>
          <w:p w14:paraId="5EF8B670" w14:textId="3164CC75" w:rsidR="006B3617" w:rsidRPr="00DF4A2D" w:rsidRDefault="006B3617" w:rsidP="006B3617">
            <w:pPr>
              <w:widowControl w:val="0"/>
              <w:spacing w:line="240" w:lineRule="auto"/>
              <w:rPr>
                <w:rFonts w:ascii="Calibri" w:eastAsia="Calibri" w:hAnsi="Calibri" w:cs="Calibri"/>
                <w:lang w:val="es-CR"/>
              </w:rPr>
            </w:pPr>
          </w:p>
        </w:tc>
      </w:tr>
      <w:tr w:rsidR="006B3617" w:rsidRPr="00DF4A2D" w14:paraId="56387875" w14:textId="77777777" w:rsidTr="00C92BE3">
        <w:tc>
          <w:tcPr>
            <w:tcW w:w="525" w:type="dxa"/>
            <w:shd w:val="clear" w:color="auto" w:fill="auto"/>
            <w:tcMar>
              <w:top w:w="100" w:type="dxa"/>
              <w:left w:w="100" w:type="dxa"/>
              <w:bottom w:w="100" w:type="dxa"/>
              <w:right w:w="100" w:type="dxa"/>
            </w:tcMar>
          </w:tcPr>
          <w:p w14:paraId="56F4516D"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3.</w:t>
            </w:r>
          </w:p>
        </w:tc>
        <w:tc>
          <w:tcPr>
            <w:tcW w:w="3690" w:type="dxa"/>
            <w:shd w:val="clear" w:color="auto" w:fill="auto"/>
            <w:tcMar>
              <w:top w:w="100" w:type="dxa"/>
              <w:left w:w="100" w:type="dxa"/>
              <w:bottom w:w="100" w:type="dxa"/>
              <w:right w:w="100" w:type="dxa"/>
            </w:tcMar>
          </w:tcPr>
          <w:p w14:paraId="7B53FE5A"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NO exigir el principio de </w:t>
            </w:r>
            <w:r w:rsidRPr="00DF4A2D">
              <w:rPr>
                <w:rFonts w:ascii="Calibri" w:eastAsia="Calibri" w:hAnsi="Calibri" w:cs="Calibri"/>
                <w:b/>
                <w:lang w:val="es-CR"/>
              </w:rPr>
              <w:t xml:space="preserve">la doble criminalidad </w:t>
            </w:r>
            <w:r w:rsidRPr="00DF4A2D">
              <w:rPr>
                <w:rFonts w:ascii="Calibri" w:eastAsia="Calibri" w:hAnsi="Calibri" w:cs="Calibri"/>
                <w:lang w:val="es-CR"/>
              </w:rPr>
              <w:t xml:space="preserve">para proceder con jurisdicción extraterritorial o </w:t>
            </w:r>
          </w:p>
          <w:p w14:paraId="75E4A8CC" w14:textId="6051CAEA"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extradición por delitos sexuales contra niñas, niños y adolescentes.</w:t>
            </w:r>
          </w:p>
        </w:tc>
        <w:tc>
          <w:tcPr>
            <w:tcW w:w="915" w:type="dxa"/>
            <w:shd w:val="clear" w:color="auto" w:fill="auto"/>
            <w:tcMar>
              <w:top w:w="100" w:type="dxa"/>
              <w:left w:w="100" w:type="dxa"/>
              <w:bottom w:w="100" w:type="dxa"/>
              <w:right w:w="100" w:type="dxa"/>
            </w:tcMar>
          </w:tcPr>
          <w:p w14:paraId="602C9105" w14:textId="77777777" w:rsidR="006B3617" w:rsidRPr="00DF4A2D" w:rsidRDefault="006B3617" w:rsidP="006B3617">
            <w:pPr>
              <w:widowControl w:val="0"/>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54DA4FE9" w14:textId="08AFC9C9" w:rsidR="006B3617" w:rsidRPr="00DF4A2D" w:rsidRDefault="00641A1F" w:rsidP="00DF4A2D">
            <w:pPr>
              <w:widowControl w:val="0"/>
              <w:spacing w:line="240" w:lineRule="auto"/>
              <w:rPr>
                <w:rFonts w:ascii="Calibri" w:eastAsia="Calibri" w:hAnsi="Calibri" w:cs="Calibri"/>
                <w:lang w:val="es-CR"/>
              </w:rPr>
            </w:pPr>
            <w:r w:rsidRPr="00DF4A2D">
              <w:rPr>
                <w:rFonts w:ascii="Calibri" w:eastAsia="Calibri" w:hAnsi="Calibri" w:cs="Calibri"/>
                <w:lang w:val="es-CR"/>
              </w:rPr>
              <w:t xml:space="preserve">Según el artículo 5 de la Ley </w:t>
            </w:r>
            <w:r w:rsidR="00DF4A2D" w:rsidRPr="00DF4A2D">
              <w:rPr>
                <w:rFonts w:ascii="Calibri" w:eastAsia="Calibri" w:hAnsi="Calibri" w:cs="Calibri"/>
                <w:lang w:val="es-CR"/>
              </w:rPr>
              <w:t>489 sobre</w:t>
            </w:r>
            <w:r w:rsidRPr="00DF4A2D">
              <w:rPr>
                <w:rFonts w:ascii="Calibri" w:eastAsia="Calibri" w:hAnsi="Calibri" w:cs="Calibri"/>
                <w:lang w:val="es-CR"/>
              </w:rPr>
              <w:t xml:space="preserve"> Extradición el principio de doble criminalidad sí se aplica en casos de extradición. El principio de doble criminalidad no se aplica en el caso de jurisdicción extraterritorial respecto al mencionado delito de explotación de NNA en la prostitución (“proxenetismo de NNA”)</w:t>
            </w:r>
          </w:p>
        </w:tc>
      </w:tr>
      <w:tr w:rsidR="006B3617" w:rsidRPr="00DF4A2D" w14:paraId="06DB0897" w14:textId="77777777" w:rsidTr="00C92BE3">
        <w:tc>
          <w:tcPr>
            <w:tcW w:w="525" w:type="dxa"/>
            <w:shd w:val="clear" w:color="auto" w:fill="auto"/>
            <w:tcMar>
              <w:top w:w="100" w:type="dxa"/>
              <w:left w:w="100" w:type="dxa"/>
              <w:bottom w:w="100" w:type="dxa"/>
              <w:right w:w="100" w:type="dxa"/>
            </w:tcMar>
          </w:tcPr>
          <w:p w14:paraId="4F720009"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4.</w:t>
            </w:r>
          </w:p>
        </w:tc>
        <w:tc>
          <w:tcPr>
            <w:tcW w:w="3690" w:type="dxa"/>
            <w:shd w:val="clear" w:color="auto" w:fill="auto"/>
            <w:tcMar>
              <w:top w:w="100" w:type="dxa"/>
              <w:left w:w="100" w:type="dxa"/>
              <w:bottom w:w="100" w:type="dxa"/>
              <w:right w:w="100" w:type="dxa"/>
            </w:tcMar>
          </w:tcPr>
          <w:p w14:paraId="51F86380"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Abolir </w:t>
            </w:r>
            <w:r w:rsidRPr="00DF4A2D">
              <w:rPr>
                <w:rFonts w:ascii="Calibri" w:eastAsia="Calibri" w:hAnsi="Calibri" w:cs="Calibri"/>
                <w:b/>
                <w:lang w:val="es-CR"/>
              </w:rPr>
              <w:t>las limitaciones legales</w:t>
            </w:r>
            <w:r w:rsidRPr="00DF4A2D">
              <w:rPr>
                <w:rFonts w:ascii="Calibri" w:eastAsia="Calibri" w:hAnsi="Calibri" w:cs="Calibri"/>
                <w:lang w:val="es-CR"/>
              </w:rPr>
              <w:t xml:space="preserve"> para el enjuiciamiento de todos los delitos de explotación sexual </w:t>
            </w:r>
          </w:p>
          <w:p w14:paraId="410E1392"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de niñas, niños y adolescentes.</w:t>
            </w:r>
          </w:p>
          <w:p w14:paraId="637849CF" w14:textId="3CE2558A"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c>
          <w:tcPr>
            <w:tcW w:w="915" w:type="dxa"/>
            <w:shd w:val="clear" w:color="auto" w:fill="auto"/>
            <w:tcMar>
              <w:top w:w="100" w:type="dxa"/>
              <w:left w:w="100" w:type="dxa"/>
              <w:bottom w:w="100" w:type="dxa"/>
              <w:right w:w="100" w:type="dxa"/>
            </w:tcMar>
          </w:tcPr>
          <w:p w14:paraId="18B483A9" w14:textId="3B436DFF" w:rsidR="006B3617" w:rsidRPr="00DF4A2D" w:rsidRDefault="00641A1F" w:rsidP="00641A1F">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No</w:t>
            </w:r>
          </w:p>
        </w:tc>
        <w:tc>
          <w:tcPr>
            <w:tcW w:w="5100" w:type="dxa"/>
            <w:shd w:val="clear" w:color="auto" w:fill="auto"/>
            <w:tcMar>
              <w:top w:w="100" w:type="dxa"/>
              <w:left w:w="100" w:type="dxa"/>
              <w:bottom w:w="100" w:type="dxa"/>
              <w:right w:w="100" w:type="dxa"/>
            </w:tcMar>
          </w:tcPr>
          <w:p w14:paraId="602BAEBA" w14:textId="792F50E2" w:rsidR="006B3617" w:rsidRPr="00DF4A2D" w:rsidRDefault="00641A1F"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El artículo 45 del Código Procesal Penal establece los plazos de prescripción que se aplican a todos los delitos, incluidos los delitos sexuales contra NNA.</w:t>
            </w:r>
          </w:p>
        </w:tc>
      </w:tr>
      <w:tr w:rsidR="006B3617" w:rsidRPr="00DF4A2D" w14:paraId="03DFEDED" w14:textId="77777777" w:rsidTr="00C92BE3">
        <w:tc>
          <w:tcPr>
            <w:tcW w:w="525" w:type="dxa"/>
            <w:shd w:val="clear" w:color="auto" w:fill="auto"/>
            <w:tcMar>
              <w:top w:w="100" w:type="dxa"/>
              <w:left w:w="100" w:type="dxa"/>
              <w:bottom w:w="100" w:type="dxa"/>
              <w:right w:w="100" w:type="dxa"/>
            </w:tcMar>
          </w:tcPr>
          <w:p w14:paraId="1BE5355E"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5.</w:t>
            </w:r>
          </w:p>
        </w:tc>
        <w:tc>
          <w:tcPr>
            <w:tcW w:w="3690" w:type="dxa"/>
            <w:shd w:val="clear" w:color="auto" w:fill="auto"/>
            <w:tcMar>
              <w:top w:w="100" w:type="dxa"/>
              <w:left w:w="100" w:type="dxa"/>
              <w:bottom w:w="100" w:type="dxa"/>
              <w:right w:w="100" w:type="dxa"/>
            </w:tcMar>
          </w:tcPr>
          <w:p w14:paraId="433D0694" w14:textId="4281F1A9"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Establecer </w:t>
            </w:r>
            <w:r w:rsidRPr="00DF4A2D">
              <w:rPr>
                <w:rFonts w:ascii="Calibri" w:eastAsia="Calibri" w:hAnsi="Calibri" w:cs="Calibri"/>
                <w:b/>
                <w:lang w:val="es-CR"/>
              </w:rPr>
              <w:t>condiciones para cualquier viaje</w:t>
            </w:r>
            <w:r w:rsidRPr="00DF4A2D">
              <w:rPr>
                <w:rFonts w:ascii="Calibri" w:eastAsia="Calibri" w:hAnsi="Calibri" w:cs="Calibri"/>
                <w:lang w:val="es-CR"/>
              </w:rPr>
              <w:t xml:space="preserve"> de personas condenadas por explotación sexual de niñas, niños y adolescentes.</w:t>
            </w:r>
          </w:p>
        </w:tc>
        <w:tc>
          <w:tcPr>
            <w:tcW w:w="915" w:type="dxa"/>
            <w:shd w:val="clear" w:color="auto" w:fill="auto"/>
            <w:tcMar>
              <w:top w:w="100" w:type="dxa"/>
              <w:left w:w="100" w:type="dxa"/>
              <w:bottom w:w="100" w:type="dxa"/>
              <w:right w:w="100" w:type="dxa"/>
            </w:tcMar>
          </w:tcPr>
          <w:p w14:paraId="173234C9" w14:textId="49F0C87F" w:rsidR="006B3617" w:rsidRPr="00DF4A2D" w:rsidRDefault="00641A1F"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No</w:t>
            </w:r>
          </w:p>
        </w:tc>
        <w:tc>
          <w:tcPr>
            <w:tcW w:w="5100" w:type="dxa"/>
            <w:shd w:val="clear" w:color="auto" w:fill="auto"/>
            <w:tcMar>
              <w:top w:w="100" w:type="dxa"/>
              <w:left w:w="100" w:type="dxa"/>
              <w:bottom w:w="100" w:type="dxa"/>
              <w:right w:w="100" w:type="dxa"/>
            </w:tcMar>
          </w:tcPr>
          <w:p w14:paraId="687AC593" w14:textId="33F2D4B6" w:rsidR="001E56A3" w:rsidRPr="00DF4A2D" w:rsidRDefault="001E56A3" w:rsidP="006B3617">
            <w:pPr>
              <w:widowControl w:val="0"/>
              <w:spacing w:line="240" w:lineRule="auto"/>
              <w:rPr>
                <w:rFonts w:ascii="Calibri" w:eastAsia="Calibri" w:hAnsi="Calibri" w:cs="Calibri"/>
                <w:lang w:val="es-CR"/>
              </w:rPr>
            </w:pPr>
            <w:r w:rsidRPr="00DF4A2D">
              <w:rPr>
                <w:rFonts w:ascii="Calibri" w:eastAsia="Calibri" w:hAnsi="Calibri" w:cs="Calibri"/>
                <w:lang w:val="es-CR"/>
              </w:rPr>
              <w:t>La legislación no establece</w:t>
            </w:r>
            <w:r w:rsidR="00641A1F" w:rsidRPr="00DF4A2D">
              <w:rPr>
                <w:rFonts w:ascii="Calibri" w:eastAsia="Calibri" w:hAnsi="Calibri" w:cs="Calibri"/>
                <w:lang w:val="es-CR"/>
              </w:rPr>
              <w:t xml:space="preserve"> condiciones específicas para viajes de personas condenadas por explotación sexual de NNA a República Dominicana, ni tampoco existen restricciones legales que impidan a los nacionales acusados de delitos sexuales contra NNA viajar fuera del país. </w:t>
            </w:r>
          </w:p>
          <w:p w14:paraId="4D958852" w14:textId="77777777" w:rsidR="001E56A3" w:rsidRPr="00DF4A2D" w:rsidRDefault="001E56A3" w:rsidP="006B3617">
            <w:pPr>
              <w:widowControl w:val="0"/>
              <w:spacing w:line="240" w:lineRule="auto"/>
              <w:rPr>
                <w:rFonts w:ascii="Calibri" w:eastAsia="Calibri" w:hAnsi="Calibri" w:cs="Calibri"/>
                <w:lang w:val="es-CR"/>
              </w:rPr>
            </w:pPr>
          </w:p>
          <w:p w14:paraId="5282ED8C" w14:textId="0EAE8E56" w:rsidR="006B3617" w:rsidRPr="00DF4A2D" w:rsidRDefault="001E56A3" w:rsidP="001E56A3">
            <w:pPr>
              <w:widowControl w:val="0"/>
              <w:spacing w:line="240" w:lineRule="auto"/>
              <w:rPr>
                <w:rFonts w:ascii="Calibri" w:eastAsia="Calibri" w:hAnsi="Calibri" w:cs="Calibri"/>
                <w:lang w:val="es-CR"/>
              </w:rPr>
            </w:pPr>
            <w:r w:rsidRPr="00DF4A2D">
              <w:rPr>
                <w:rFonts w:ascii="Calibri" w:eastAsia="Calibri" w:hAnsi="Calibri" w:cs="Calibri"/>
                <w:lang w:val="es-CR"/>
              </w:rPr>
              <w:t>En cualquier caso, según el artículo 15 de la Ley de Migración,</w:t>
            </w:r>
            <w:r w:rsidR="00641A1F" w:rsidRPr="00DF4A2D">
              <w:rPr>
                <w:rFonts w:ascii="Calibri" w:eastAsia="Calibri" w:hAnsi="Calibri" w:cs="Calibri"/>
                <w:lang w:val="es-CR"/>
              </w:rPr>
              <w:t xml:space="preserve"> la entrada de un extranjero a República Dominicana puede ser denegada cuando tiene antecedentes penales y será denegada cuando esté cumpliendo o haya sido procesado por delitos tipificados en República Dominicana.</w:t>
            </w:r>
          </w:p>
        </w:tc>
      </w:tr>
      <w:tr w:rsidR="006B3617" w:rsidRPr="00DF4A2D" w14:paraId="4D8714F0" w14:textId="77777777" w:rsidTr="00C92BE3">
        <w:tc>
          <w:tcPr>
            <w:tcW w:w="525" w:type="dxa"/>
            <w:shd w:val="clear" w:color="auto" w:fill="auto"/>
            <w:tcMar>
              <w:top w:w="100" w:type="dxa"/>
              <w:left w:w="100" w:type="dxa"/>
              <w:bottom w:w="100" w:type="dxa"/>
              <w:right w:w="100" w:type="dxa"/>
            </w:tcMar>
          </w:tcPr>
          <w:p w14:paraId="40B75D50"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6.</w:t>
            </w:r>
          </w:p>
        </w:tc>
        <w:tc>
          <w:tcPr>
            <w:tcW w:w="3690" w:type="dxa"/>
            <w:shd w:val="clear" w:color="auto" w:fill="auto"/>
            <w:tcMar>
              <w:top w:w="100" w:type="dxa"/>
              <w:left w:w="100" w:type="dxa"/>
              <w:bottom w:w="100" w:type="dxa"/>
              <w:right w:w="100" w:type="dxa"/>
            </w:tcMar>
          </w:tcPr>
          <w:p w14:paraId="55839316" w14:textId="1A80EB5B"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Definir </w:t>
            </w:r>
            <w:r w:rsidRPr="00DF4A2D">
              <w:rPr>
                <w:rFonts w:ascii="Calibri" w:eastAsia="Calibri" w:hAnsi="Calibri" w:cs="Calibri"/>
                <w:b/>
                <w:lang w:val="es-CR"/>
              </w:rPr>
              <w:t>el término ‘niño’</w:t>
            </w:r>
            <w:r w:rsidRPr="00DF4A2D">
              <w:rPr>
                <w:rFonts w:ascii="Calibri" w:eastAsia="Calibri" w:hAnsi="Calibri" w:cs="Calibri"/>
                <w:lang w:val="es-CR"/>
              </w:rPr>
              <w:t xml:space="preserve">, como cualquier persona </w:t>
            </w:r>
            <w:r w:rsidRPr="00DF4A2D">
              <w:rPr>
                <w:rFonts w:ascii="Calibri" w:eastAsia="Calibri" w:hAnsi="Calibri" w:cs="Calibri"/>
                <w:b/>
                <w:lang w:val="es-CR"/>
              </w:rPr>
              <w:t>menor de 18 años</w:t>
            </w:r>
            <w:r w:rsidRPr="00DF4A2D">
              <w:rPr>
                <w:rFonts w:ascii="Calibri" w:eastAsia="Calibri" w:hAnsi="Calibri" w:cs="Calibri"/>
                <w:lang w:val="es-CR"/>
              </w:rPr>
              <w:t xml:space="preserve">, a efectos de todos los delitos de la </w:t>
            </w:r>
            <w:r w:rsidRPr="00DF4A2D">
              <w:rPr>
                <w:rFonts w:ascii="Calibri" w:eastAsia="Calibri" w:hAnsi="Calibri" w:cs="Calibri"/>
                <w:lang w:val="es-CR"/>
              </w:rPr>
              <w:lastRenderedPageBreak/>
              <w:t>explotación sexual de niñas, niños y adolescentes independientemente de la edad del consentimiento sexual.</w:t>
            </w:r>
          </w:p>
        </w:tc>
        <w:tc>
          <w:tcPr>
            <w:tcW w:w="915" w:type="dxa"/>
            <w:shd w:val="clear" w:color="auto" w:fill="auto"/>
            <w:tcMar>
              <w:top w:w="100" w:type="dxa"/>
              <w:left w:w="100" w:type="dxa"/>
              <w:bottom w:w="100" w:type="dxa"/>
              <w:right w:w="100" w:type="dxa"/>
            </w:tcMar>
          </w:tcPr>
          <w:p w14:paraId="33AEA8B5" w14:textId="77777777" w:rsidR="006B3617" w:rsidRPr="00DF4A2D" w:rsidRDefault="006B3617" w:rsidP="006B3617">
            <w:pPr>
              <w:widowControl w:val="0"/>
              <w:spacing w:line="240" w:lineRule="auto"/>
              <w:rPr>
                <w:rFonts w:ascii="Calibri" w:eastAsia="Calibri" w:hAnsi="Calibri" w:cs="Calibri"/>
                <w:lang w:val="es-CR"/>
              </w:rPr>
            </w:pPr>
            <w:r w:rsidRPr="00DF4A2D">
              <w:rPr>
                <w:rFonts w:ascii="Calibri" w:eastAsia="Calibri" w:hAnsi="Calibri" w:cs="Calibri"/>
                <w:lang w:val="es-CR"/>
              </w:rPr>
              <w:lastRenderedPageBreak/>
              <w:t>Sí</w:t>
            </w:r>
          </w:p>
        </w:tc>
        <w:tc>
          <w:tcPr>
            <w:tcW w:w="5100" w:type="dxa"/>
            <w:shd w:val="clear" w:color="auto" w:fill="auto"/>
            <w:tcMar>
              <w:top w:w="100" w:type="dxa"/>
              <w:left w:w="100" w:type="dxa"/>
              <w:bottom w:w="100" w:type="dxa"/>
              <w:right w:w="100" w:type="dxa"/>
            </w:tcMar>
          </w:tcPr>
          <w:p w14:paraId="6921EC5E" w14:textId="194D5706" w:rsidR="006B3617" w:rsidRPr="00DF4A2D" w:rsidRDefault="001E56A3" w:rsidP="001E56A3">
            <w:pPr>
              <w:widowControl w:val="0"/>
              <w:spacing w:line="240" w:lineRule="auto"/>
              <w:rPr>
                <w:rFonts w:ascii="Calibri" w:eastAsia="Calibri" w:hAnsi="Calibri" w:cs="Calibri"/>
                <w:lang w:val="es-CR"/>
              </w:rPr>
            </w:pPr>
            <w:r w:rsidRPr="00DF4A2D">
              <w:rPr>
                <w:rFonts w:ascii="Calibri" w:eastAsia="Calibri" w:hAnsi="Calibri" w:cs="Calibri"/>
                <w:lang w:val="es-CR"/>
              </w:rPr>
              <w:t xml:space="preserve">Según el Principio 2 de la Ley 136-03 que crea el Código para el Sistema de Protección y los Derechos Fundamentales de NNA, se considera niño o niña a </w:t>
            </w:r>
            <w:r w:rsidRPr="00DF4A2D">
              <w:rPr>
                <w:rFonts w:ascii="Calibri" w:eastAsia="Calibri" w:hAnsi="Calibri" w:cs="Calibri"/>
                <w:lang w:val="es-CR"/>
              </w:rPr>
              <w:lastRenderedPageBreak/>
              <w:t xml:space="preserve">toda persona desde su nacimiento hasta los doce años, inclusive; y adolescente, a toda persona desde los trece años hasta alcanzar la </w:t>
            </w:r>
            <w:r w:rsidR="00A74ADB" w:rsidRPr="00DF4A2D">
              <w:rPr>
                <w:rFonts w:ascii="Calibri" w:eastAsia="Calibri" w:hAnsi="Calibri" w:cs="Calibri"/>
                <w:lang w:val="es-CR"/>
              </w:rPr>
              <w:t>mayoría</w:t>
            </w:r>
            <w:r w:rsidRPr="00DF4A2D">
              <w:rPr>
                <w:rFonts w:ascii="Calibri" w:eastAsia="Calibri" w:hAnsi="Calibri" w:cs="Calibri"/>
                <w:lang w:val="es-CR"/>
              </w:rPr>
              <w:t xml:space="preserve"> de edad. Esta es la </w:t>
            </w:r>
            <w:r w:rsidR="002969D6" w:rsidRPr="00DF4A2D">
              <w:rPr>
                <w:rFonts w:ascii="Calibri" w:eastAsia="Calibri" w:hAnsi="Calibri" w:cs="Calibri"/>
                <w:lang w:val="es-CR"/>
              </w:rPr>
              <w:t>definición</w:t>
            </w:r>
            <w:r w:rsidRPr="00DF4A2D">
              <w:rPr>
                <w:rFonts w:ascii="Calibri" w:eastAsia="Calibri" w:hAnsi="Calibri" w:cs="Calibri"/>
                <w:lang w:val="es-CR"/>
              </w:rPr>
              <w:t xml:space="preserve"> que se aplica para todos los delitos de e</w:t>
            </w:r>
            <w:r w:rsidR="00B7138B" w:rsidRPr="00DF4A2D">
              <w:rPr>
                <w:rFonts w:ascii="Calibri" w:eastAsia="Calibri" w:hAnsi="Calibri" w:cs="Calibri"/>
                <w:lang w:val="es-CR"/>
              </w:rPr>
              <w:t>xplotación sexual de NNA.</w:t>
            </w:r>
          </w:p>
          <w:p w14:paraId="3F6CD729" w14:textId="49FC24F0" w:rsidR="001E56A3" w:rsidRPr="00DF4A2D" w:rsidRDefault="001E56A3" w:rsidP="001E56A3">
            <w:pPr>
              <w:widowControl w:val="0"/>
              <w:spacing w:line="240" w:lineRule="auto"/>
              <w:rPr>
                <w:rFonts w:ascii="Calibri" w:eastAsia="Calibri" w:hAnsi="Calibri" w:cs="Calibri"/>
                <w:lang w:val="es-CR"/>
              </w:rPr>
            </w:pPr>
          </w:p>
        </w:tc>
      </w:tr>
      <w:tr w:rsidR="006B3617" w:rsidRPr="00DF4A2D" w14:paraId="7A8C1E09" w14:textId="77777777" w:rsidTr="00C92BE3">
        <w:tc>
          <w:tcPr>
            <w:tcW w:w="525" w:type="dxa"/>
            <w:shd w:val="clear" w:color="auto" w:fill="auto"/>
            <w:tcMar>
              <w:top w:w="100" w:type="dxa"/>
              <w:left w:w="100" w:type="dxa"/>
              <w:bottom w:w="100" w:type="dxa"/>
              <w:right w:w="100" w:type="dxa"/>
            </w:tcMar>
          </w:tcPr>
          <w:p w14:paraId="523B1B3F"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7.</w:t>
            </w:r>
          </w:p>
        </w:tc>
        <w:tc>
          <w:tcPr>
            <w:tcW w:w="3690" w:type="dxa"/>
            <w:shd w:val="clear" w:color="auto" w:fill="auto"/>
            <w:tcMar>
              <w:top w:w="100" w:type="dxa"/>
              <w:left w:w="100" w:type="dxa"/>
              <w:bottom w:w="100" w:type="dxa"/>
              <w:right w:w="100" w:type="dxa"/>
            </w:tcMar>
          </w:tcPr>
          <w:p w14:paraId="31BD5172"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Asegurar que </w:t>
            </w:r>
            <w:r w:rsidRPr="00DF4A2D">
              <w:rPr>
                <w:rFonts w:ascii="Calibri" w:eastAsia="Calibri" w:hAnsi="Calibri" w:cs="Calibri"/>
                <w:b/>
                <w:lang w:val="es-CR"/>
              </w:rPr>
              <w:t>la edad de consentimiento sexual</w:t>
            </w:r>
            <w:r w:rsidRPr="00DF4A2D">
              <w:rPr>
                <w:rFonts w:ascii="Calibri" w:eastAsia="Calibri" w:hAnsi="Calibri" w:cs="Calibri"/>
                <w:lang w:val="es-CR"/>
              </w:rPr>
              <w:t xml:space="preserve"> tanto para las personas de sexo masculino como para las de sexo femenino sea de 18 años y que se proporcione </w:t>
            </w:r>
            <w:r w:rsidRPr="00DF4A2D">
              <w:rPr>
                <w:rFonts w:ascii="Calibri" w:eastAsia="Calibri" w:hAnsi="Calibri" w:cs="Calibri"/>
                <w:b/>
                <w:lang w:val="es-CR"/>
              </w:rPr>
              <w:t>una exención de edad cercana</w:t>
            </w:r>
          </w:p>
          <w:p w14:paraId="46EA59C8"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(hasta 3 años) para las relaciones sexuales consensuales entre adolescentes a fin de permitir el </w:t>
            </w:r>
          </w:p>
          <w:p w14:paraId="4091147B" w14:textId="27831F8E"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contacto sexual voluntario, bien informado y mutuo entre compañeros de la misma edad y para prevenir la criminalización de los jóvenes en relaciones sexuales voluntarias.</w:t>
            </w:r>
          </w:p>
        </w:tc>
        <w:tc>
          <w:tcPr>
            <w:tcW w:w="915" w:type="dxa"/>
            <w:shd w:val="clear" w:color="auto" w:fill="auto"/>
            <w:tcMar>
              <w:top w:w="100" w:type="dxa"/>
              <w:left w:w="100" w:type="dxa"/>
              <w:bottom w:w="100" w:type="dxa"/>
              <w:right w:w="100" w:type="dxa"/>
            </w:tcMar>
          </w:tcPr>
          <w:p w14:paraId="18CB8F4C" w14:textId="347D5788" w:rsidR="00E30EF8" w:rsidRPr="00DF4A2D" w:rsidRDefault="00B7138B"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Parcialmente</w:t>
            </w:r>
            <w:r w:rsidR="00E30EF8" w:rsidRPr="00DF4A2D">
              <w:rPr>
                <w:rFonts w:ascii="Calibri" w:eastAsia="Calibri" w:hAnsi="Calibri" w:cs="Calibri"/>
                <w:lang w:val="es-CR"/>
              </w:rPr>
              <w:t xml:space="preserve"> </w:t>
            </w:r>
          </w:p>
        </w:tc>
        <w:tc>
          <w:tcPr>
            <w:tcW w:w="5100" w:type="dxa"/>
            <w:shd w:val="clear" w:color="auto" w:fill="auto"/>
            <w:tcMar>
              <w:top w:w="100" w:type="dxa"/>
              <w:left w:w="100" w:type="dxa"/>
              <w:bottom w:w="100" w:type="dxa"/>
              <w:right w:w="100" w:type="dxa"/>
            </w:tcMar>
          </w:tcPr>
          <w:p w14:paraId="54451D91" w14:textId="383E28EA" w:rsidR="006B3617" w:rsidRPr="00DF4A2D" w:rsidRDefault="00B7138B" w:rsidP="00693314">
            <w:pPr>
              <w:widowControl w:val="0"/>
              <w:spacing w:line="240" w:lineRule="auto"/>
              <w:rPr>
                <w:rFonts w:ascii="Calibri" w:eastAsia="Calibri" w:hAnsi="Calibri" w:cs="Calibri"/>
                <w:lang w:val="es-CR"/>
              </w:rPr>
            </w:pPr>
            <w:r w:rsidRPr="00DF4A2D">
              <w:rPr>
                <w:rFonts w:ascii="Calibri" w:eastAsia="Calibri" w:hAnsi="Calibri" w:cs="Calibri"/>
                <w:lang w:val="es-CR"/>
              </w:rPr>
              <w:t>La edad de consentimiento tanto para personas de sexo masculino como para las de sexo femenino es de 18 años con una exención de edad cercana de 5 años, tal y como establece el artículo 396 de la Ley 1</w:t>
            </w:r>
            <w:r w:rsidR="00693314" w:rsidRPr="00DF4A2D">
              <w:rPr>
                <w:rFonts w:ascii="Calibri" w:eastAsia="Calibri" w:hAnsi="Calibri" w:cs="Calibri"/>
                <w:lang w:val="es-CR"/>
              </w:rPr>
              <w:t>36-03.</w:t>
            </w:r>
          </w:p>
        </w:tc>
      </w:tr>
      <w:tr w:rsidR="006B3617" w:rsidRPr="00DF4A2D" w14:paraId="670209D7" w14:textId="77777777" w:rsidTr="00C92BE3">
        <w:tc>
          <w:tcPr>
            <w:tcW w:w="525" w:type="dxa"/>
            <w:shd w:val="clear" w:color="auto" w:fill="auto"/>
            <w:tcMar>
              <w:top w:w="100" w:type="dxa"/>
              <w:left w:w="100" w:type="dxa"/>
              <w:bottom w:w="100" w:type="dxa"/>
              <w:right w:w="100" w:type="dxa"/>
            </w:tcMar>
          </w:tcPr>
          <w:p w14:paraId="6C6941B8"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8.</w:t>
            </w:r>
          </w:p>
        </w:tc>
        <w:tc>
          <w:tcPr>
            <w:tcW w:w="3690" w:type="dxa"/>
            <w:shd w:val="clear" w:color="auto" w:fill="auto"/>
            <w:tcMar>
              <w:top w:w="100" w:type="dxa"/>
              <w:left w:w="100" w:type="dxa"/>
              <w:bottom w:w="100" w:type="dxa"/>
              <w:right w:w="100" w:type="dxa"/>
            </w:tcMar>
          </w:tcPr>
          <w:p w14:paraId="1D0B12D4" w14:textId="79907A2D"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Tener una ley o reglamento que establezca </w:t>
            </w:r>
            <w:r w:rsidRPr="00DF4A2D">
              <w:rPr>
                <w:rFonts w:ascii="Calibri" w:eastAsia="Calibri" w:hAnsi="Calibri" w:cs="Calibri"/>
                <w:b/>
                <w:lang w:val="es-CR"/>
              </w:rPr>
              <w:t>un mecanismo para el registro centralizado de delincuentes sexuales</w:t>
            </w:r>
            <w:r w:rsidRPr="00DF4A2D">
              <w:rPr>
                <w:rFonts w:ascii="Calibri" w:eastAsia="Calibri" w:hAnsi="Calibri" w:cs="Calibri"/>
                <w:lang w:val="es-CR"/>
              </w:rPr>
              <w:t xml:space="preserve"> que se haya implementado / determinado.</w:t>
            </w:r>
          </w:p>
        </w:tc>
        <w:tc>
          <w:tcPr>
            <w:tcW w:w="915" w:type="dxa"/>
            <w:shd w:val="clear" w:color="auto" w:fill="auto"/>
            <w:tcMar>
              <w:top w:w="100" w:type="dxa"/>
              <w:left w:w="100" w:type="dxa"/>
              <w:bottom w:w="100" w:type="dxa"/>
              <w:right w:w="100" w:type="dxa"/>
            </w:tcMar>
          </w:tcPr>
          <w:p w14:paraId="4CDE008B" w14:textId="79F7A39E" w:rsidR="006B3617" w:rsidRPr="00DF4A2D" w:rsidRDefault="00654602"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No</w:t>
            </w:r>
          </w:p>
        </w:tc>
        <w:tc>
          <w:tcPr>
            <w:tcW w:w="5100" w:type="dxa"/>
            <w:shd w:val="clear" w:color="auto" w:fill="auto"/>
            <w:tcMar>
              <w:top w:w="100" w:type="dxa"/>
              <w:left w:w="100" w:type="dxa"/>
              <w:bottom w:w="100" w:type="dxa"/>
              <w:right w:w="100" w:type="dxa"/>
            </w:tcMar>
          </w:tcPr>
          <w:p w14:paraId="42DC711F" w14:textId="77777777" w:rsidR="00D72B4C" w:rsidRDefault="00654602" w:rsidP="00D72B4C">
            <w:pPr>
              <w:widowControl w:val="0"/>
              <w:spacing w:line="240" w:lineRule="auto"/>
              <w:rPr>
                <w:rFonts w:ascii="Calibri" w:eastAsia="Calibri" w:hAnsi="Calibri" w:cs="Calibri"/>
                <w:lang w:val="es-CR"/>
              </w:rPr>
            </w:pPr>
            <w:r w:rsidRPr="00DF4A2D">
              <w:rPr>
                <w:rFonts w:ascii="Calibri" w:eastAsia="Calibri" w:hAnsi="Calibri" w:cs="Calibri"/>
                <w:lang w:val="es-CR"/>
              </w:rPr>
              <w:t>La República Dominicana no cuenta con una ley o reglamente que establezca un mecanismo para el registro centralizado de delincuentes sexuales.</w:t>
            </w:r>
            <w:r w:rsidR="00D72B4C" w:rsidRPr="00D72B4C">
              <w:rPr>
                <w:rFonts w:ascii="Calibri" w:eastAsia="Calibri" w:hAnsi="Calibri" w:cs="Calibri"/>
                <w:lang w:val="es-CR"/>
              </w:rPr>
              <w:t xml:space="preserve"> </w:t>
            </w:r>
          </w:p>
          <w:p w14:paraId="688F92DD" w14:textId="6FE16BF8" w:rsidR="006B3617" w:rsidRPr="00DF4A2D" w:rsidRDefault="00D72B4C" w:rsidP="00D72B4C">
            <w:pPr>
              <w:widowControl w:val="0"/>
              <w:spacing w:line="240" w:lineRule="auto"/>
              <w:rPr>
                <w:rFonts w:ascii="Calibri" w:eastAsia="Calibri" w:hAnsi="Calibri" w:cs="Calibri"/>
                <w:lang w:val="es-CR"/>
              </w:rPr>
            </w:pPr>
            <w:r>
              <w:rPr>
                <w:rFonts w:ascii="Calibri" w:eastAsia="Calibri" w:hAnsi="Calibri" w:cs="Calibri"/>
                <w:lang w:val="es-CR"/>
              </w:rPr>
              <w:t xml:space="preserve">En agosto 2020 se presentó </w:t>
            </w:r>
            <w:r w:rsidRPr="00D72B4C">
              <w:rPr>
                <w:rFonts w:ascii="Calibri" w:eastAsia="Calibri" w:hAnsi="Calibri" w:cs="Calibri"/>
                <w:lang w:val="es-CR"/>
              </w:rPr>
              <w:t>a la Cámara de Diputados un proyecto de ley en esta dirección pero a fecha de mayo 2022 permanece paralizado.</w:t>
            </w:r>
          </w:p>
        </w:tc>
      </w:tr>
      <w:tr w:rsidR="006B3617" w:rsidRPr="00DF4A2D" w14:paraId="7CBE4D05" w14:textId="77777777" w:rsidTr="00C92BE3">
        <w:tc>
          <w:tcPr>
            <w:tcW w:w="525" w:type="dxa"/>
            <w:shd w:val="clear" w:color="auto" w:fill="auto"/>
            <w:tcMar>
              <w:top w:w="100" w:type="dxa"/>
              <w:left w:w="100" w:type="dxa"/>
              <w:bottom w:w="100" w:type="dxa"/>
              <w:right w:w="100" w:type="dxa"/>
            </w:tcMar>
          </w:tcPr>
          <w:p w14:paraId="544069FA"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9.</w:t>
            </w:r>
          </w:p>
        </w:tc>
        <w:tc>
          <w:tcPr>
            <w:tcW w:w="3690" w:type="dxa"/>
            <w:shd w:val="clear" w:color="auto" w:fill="auto"/>
            <w:tcMar>
              <w:top w:w="100" w:type="dxa"/>
              <w:left w:w="100" w:type="dxa"/>
              <w:bottom w:w="100" w:type="dxa"/>
              <w:right w:w="100" w:type="dxa"/>
            </w:tcMar>
          </w:tcPr>
          <w:p w14:paraId="00155938"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Establecer </w:t>
            </w:r>
            <w:r w:rsidRPr="00DF4A2D">
              <w:rPr>
                <w:rFonts w:ascii="Calibri" w:eastAsia="Calibri" w:hAnsi="Calibri" w:cs="Calibri"/>
                <w:b/>
                <w:lang w:val="es-CR"/>
              </w:rPr>
              <w:t>condiciones de libertad bajo fianza</w:t>
            </w:r>
            <w:r w:rsidRPr="00DF4A2D">
              <w:rPr>
                <w:rFonts w:ascii="Calibri" w:eastAsia="Calibri" w:hAnsi="Calibri" w:cs="Calibri"/>
                <w:lang w:val="es-CR"/>
              </w:rPr>
              <w:t xml:space="preserve"> que prohíban a las personas acusadas de delitos </w:t>
            </w:r>
          </w:p>
          <w:p w14:paraId="462E72BD" w14:textId="4E0C5F42"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sexuales contra niñas, niños y adolescentes viajar fuera del país.</w:t>
            </w:r>
          </w:p>
        </w:tc>
        <w:tc>
          <w:tcPr>
            <w:tcW w:w="915" w:type="dxa"/>
            <w:shd w:val="clear" w:color="auto" w:fill="auto"/>
            <w:tcMar>
              <w:top w:w="100" w:type="dxa"/>
              <w:left w:w="100" w:type="dxa"/>
              <w:bottom w:w="100" w:type="dxa"/>
              <w:right w:w="100" w:type="dxa"/>
            </w:tcMar>
          </w:tcPr>
          <w:p w14:paraId="7EF48B1B" w14:textId="367ADFC0" w:rsidR="006B3617" w:rsidRPr="00DF4A2D" w:rsidRDefault="00654602" w:rsidP="00654602">
            <w:pPr>
              <w:widowControl w:val="0"/>
              <w:spacing w:line="240" w:lineRule="auto"/>
              <w:rPr>
                <w:rFonts w:ascii="Calibri" w:eastAsia="Calibri" w:hAnsi="Calibri" w:cs="Calibri"/>
                <w:lang w:val="es-CR"/>
              </w:rPr>
            </w:pPr>
            <w:r w:rsidRPr="00DF4A2D">
              <w:rPr>
                <w:rFonts w:ascii="Calibri" w:eastAsia="Calibri" w:hAnsi="Calibri" w:cs="Calibri"/>
                <w:lang w:val="es-CR"/>
              </w:rPr>
              <w:t>No</w:t>
            </w:r>
          </w:p>
        </w:tc>
        <w:tc>
          <w:tcPr>
            <w:tcW w:w="5100" w:type="dxa"/>
            <w:shd w:val="clear" w:color="auto" w:fill="auto"/>
            <w:tcMar>
              <w:top w:w="100" w:type="dxa"/>
              <w:left w:w="100" w:type="dxa"/>
              <w:bottom w:w="100" w:type="dxa"/>
              <w:right w:w="100" w:type="dxa"/>
            </w:tcMar>
          </w:tcPr>
          <w:p w14:paraId="6ABA6A27" w14:textId="0C8754D4" w:rsidR="00654602" w:rsidRPr="00DF4A2D" w:rsidRDefault="00654602" w:rsidP="00654602">
            <w:pPr>
              <w:widowControl w:val="0"/>
              <w:spacing w:line="240" w:lineRule="auto"/>
              <w:rPr>
                <w:rFonts w:ascii="Calibri" w:eastAsia="Calibri" w:hAnsi="Calibri" w:cs="Calibri"/>
                <w:lang w:val="es-CR"/>
              </w:rPr>
            </w:pPr>
            <w:r w:rsidRPr="00DF4A2D">
              <w:rPr>
                <w:rFonts w:ascii="Calibri" w:eastAsia="Calibri" w:hAnsi="Calibri" w:cs="Calibri"/>
                <w:lang w:val="es-CR"/>
              </w:rPr>
              <w:t xml:space="preserve">La legislación no establece restricciones legales que impidan a los nacionales acusados de delitos sexuales contra NNA viajar fuera del país. </w:t>
            </w:r>
          </w:p>
          <w:p w14:paraId="66AC5824" w14:textId="3F674592" w:rsidR="006B3617" w:rsidRPr="00DF4A2D" w:rsidRDefault="006B3617" w:rsidP="00853DE5">
            <w:pPr>
              <w:widowControl w:val="0"/>
              <w:pBdr>
                <w:top w:val="nil"/>
                <w:left w:val="nil"/>
                <w:bottom w:val="nil"/>
                <w:right w:val="nil"/>
                <w:between w:val="nil"/>
              </w:pBdr>
              <w:spacing w:line="240" w:lineRule="auto"/>
              <w:rPr>
                <w:rFonts w:ascii="Calibri" w:eastAsia="Calibri" w:hAnsi="Calibri" w:cs="Calibri"/>
                <w:highlight w:val="red"/>
                <w:lang w:val="es-CR"/>
              </w:rPr>
            </w:pPr>
          </w:p>
        </w:tc>
      </w:tr>
      <w:tr w:rsidR="006B3617" w:rsidRPr="00DF4A2D" w14:paraId="0EA97A14" w14:textId="77777777" w:rsidTr="00C92BE3">
        <w:tc>
          <w:tcPr>
            <w:tcW w:w="525" w:type="dxa"/>
            <w:shd w:val="clear" w:color="auto" w:fill="auto"/>
            <w:tcMar>
              <w:top w:w="100" w:type="dxa"/>
              <w:left w:w="100" w:type="dxa"/>
              <w:bottom w:w="100" w:type="dxa"/>
              <w:right w:w="100" w:type="dxa"/>
            </w:tcMar>
          </w:tcPr>
          <w:p w14:paraId="2B9DA0E5"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10.</w:t>
            </w:r>
          </w:p>
        </w:tc>
        <w:tc>
          <w:tcPr>
            <w:tcW w:w="3690" w:type="dxa"/>
            <w:shd w:val="clear" w:color="auto" w:fill="auto"/>
            <w:tcMar>
              <w:top w:w="100" w:type="dxa"/>
              <w:left w:w="100" w:type="dxa"/>
              <w:bottom w:w="100" w:type="dxa"/>
              <w:right w:w="100" w:type="dxa"/>
            </w:tcMar>
          </w:tcPr>
          <w:p w14:paraId="1CD23730"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Asegurar que la ley penalice la mera </w:t>
            </w:r>
            <w:r w:rsidRPr="00DF4A2D">
              <w:rPr>
                <w:rFonts w:ascii="Calibri" w:eastAsia="Calibri" w:hAnsi="Calibri" w:cs="Calibri"/>
                <w:b/>
                <w:lang w:val="es-CR"/>
              </w:rPr>
              <w:t>tentativa de cometer un delito</w:t>
            </w:r>
            <w:r w:rsidRPr="00DF4A2D">
              <w:rPr>
                <w:rFonts w:ascii="Calibri" w:eastAsia="Calibri" w:hAnsi="Calibri" w:cs="Calibri"/>
                <w:lang w:val="es-CR"/>
              </w:rPr>
              <w:t xml:space="preserve"> de explotación sexual de </w:t>
            </w:r>
          </w:p>
          <w:p w14:paraId="59323034" w14:textId="479BDF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niñas, niños y adolescentes.</w:t>
            </w:r>
          </w:p>
        </w:tc>
        <w:tc>
          <w:tcPr>
            <w:tcW w:w="915" w:type="dxa"/>
            <w:shd w:val="clear" w:color="auto" w:fill="auto"/>
            <w:tcMar>
              <w:top w:w="100" w:type="dxa"/>
              <w:left w:w="100" w:type="dxa"/>
              <w:bottom w:w="100" w:type="dxa"/>
              <w:right w:w="100" w:type="dxa"/>
            </w:tcMar>
          </w:tcPr>
          <w:p w14:paraId="757031E0" w14:textId="1E212C10" w:rsidR="006B3617" w:rsidRPr="00DF4A2D" w:rsidRDefault="004E7276"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79A6CA3D" w14:textId="5C6B8FF5" w:rsidR="006B3617" w:rsidRPr="00DF4A2D" w:rsidRDefault="00654602" w:rsidP="006B3617">
            <w:pPr>
              <w:widowControl w:val="0"/>
              <w:spacing w:line="240" w:lineRule="auto"/>
              <w:rPr>
                <w:rFonts w:ascii="Calibri" w:eastAsia="Calibri" w:hAnsi="Calibri" w:cs="Calibri"/>
                <w:lang w:val="es-CR"/>
              </w:rPr>
            </w:pPr>
            <w:r w:rsidRPr="00DF4A2D">
              <w:rPr>
                <w:rFonts w:ascii="Calibri" w:eastAsia="Calibri" w:hAnsi="Calibri" w:cs="Calibri"/>
                <w:lang w:val="es-CR"/>
              </w:rPr>
              <w:t>La ley penaliza la tentativa en relación a algunos delitos de explotación sexual de NNA, como el incesto (artículo 332-3 del Código Penal), el comercio de NNA (artículo 409 de la Ley 136-03), proxenetismo de NNA (a</w:t>
            </w:r>
            <w:r w:rsidR="004E7276" w:rsidRPr="00DF4A2D">
              <w:rPr>
                <w:rFonts w:ascii="Calibri" w:eastAsia="Calibri" w:hAnsi="Calibri" w:cs="Calibri"/>
                <w:lang w:val="es-CR"/>
              </w:rPr>
              <w:t>rtículo 334-1 del Código Penal), trata de personas (artículo 5 de la Ley 137-03). No se penaliza la tentativa con respecto a delitos e explotación sexual de NNA en línea.</w:t>
            </w:r>
          </w:p>
        </w:tc>
      </w:tr>
      <w:tr w:rsidR="006B3617" w:rsidRPr="00DF4A2D" w14:paraId="486B98E5" w14:textId="77777777" w:rsidTr="00C92BE3">
        <w:tc>
          <w:tcPr>
            <w:tcW w:w="525" w:type="dxa"/>
            <w:shd w:val="clear" w:color="auto" w:fill="auto"/>
            <w:tcMar>
              <w:top w:w="100" w:type="dxa"/>
              <w:left w:w="100" w:type="dxa"/>
              <w:bottom w:w="100" w:type="dxa"/>
              <w:right w:w="100" w:type="dxa"/>
            </w:tcMar>
          </w:tcPr>
          <w:p w14:paraId="16BD04BF"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11.</w:t>
            </w:r>
          </w:p>
        </w:tc>
        <w:tc>
          <w:tcPr>
            <w:tcW w:w="3690" w:type="dxa"/>
            <w:shd w:val="clear" w:color="auto" w:fill="auto"/>
            <w:tcMar>
              <w:top w:w="100" w:type="dxa"/>
              <w:left w:w="100" w:type="dxa"/>
              <w:bottom w:w="100" w:type="dxa"/>
              <w:right w:w="100" w:type="dxa"/>
            </w:tcMar>
          </w:tcPr>
          <w:p w14:paraId="2F76A242" w14:textId="77777777" w:rsidR="006B3617" w:rsidRPr="00DF4A2D" w:rsidRDefault="006B3617" w:rsidP="006B3617">
            <w:pPr>
              <w:spacing w:line="240" w:lineRule="auto"/>
              <w:rPr>
                <w:rFonts w:ascii="Calibri" w:eastAsia="Calibri" w:hAnsi="Calibri" w:cs="Calibri"/>
                <w:b/>
                <w:lang w:val="es-CR"/>
              </w:rPr>
            </w:pPr>
            <w:r w:rsidRPr="00DF4A2D">
              <w:rPr>
                <w:rFonts w:ascii="Calibri" w:eastAsia="Calibri" w:hAnsi="Calibri" w:cs="Calibri"/>
                <w:lang w:val="es-CR"/>
              </w:rPr>
              <w:t xml:space="preserve">Imponer sanciones más severas por </w:t>
            </w:r>
            <w:r w:rsidRPr="00DF4A2D">
              <w:rPr>
                <w:rFonts w:ascii="Calibri" w:eastAsia="Calibri" w:hAnsi="Calibri" w:cs="Calibri"/>
                <w:b/>
                <w:lang w:val="es-CR"/>
              </w:rPr>
              <w:t xml:space="preserve">reincidencia en caso de explotación sexual contra niñas, niños y </w:t>
            </w:r>
          </w:p>
          <w:p w14:paraId="753B89F3"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b/>
                <w:lang w:val="es-CR"/>
              </w:rPr>
              <w:t>adolescentes</w:t>
            </w:r>
            <w:r w:rsidRPr="00DF4A2D">
              <w:rPr>
                <w:rFonts w:ascii="Calibri" w:eastAsia="Calibri" w:hAnsi="Calibri" w:cs="Calibri"/>
                <w:lang w:val="es-CR"/>
              </w:rPr>
              <w:t xml:space="preserve">, p. ej. al definir la reincidencia como una circunstancia agravante, independientemente </w:t>
            </w:r>
          </w:p>
          <w:p w14:paraId="6C6BBEB1" w14:textId="0828368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de que los delitos hayan sido </w:t>
            </w:r>
            <w:r w:rsidRPr="00DF4A2D">
              <w:rPr>
                <w:rFonts w:ascii="Calibri" w:eastAsia="Calibri" w:hAnsi="Calibri" w:cs="Calibri"/>
                <w:lang w:val="es-CR"/>
              </w:rPr>
              <w:lastRenderedPageBreak/>
              <w:t xml:space="preserve">perpetrados en el extranjero o en el país. </w:t>
            </w:r>
          </w:p>
        </w:tc>
        <w:tc>
          <w:tcPr>
            <w:tcW w:w="915" w:type="dxa"/>
            <w:shd w:val="clear" w:color="auto" w:fill="auto"/>
            <w:tcMar>
              <w:top w:w="100" w:type="dxa"/>
              <w:left w:w="100" w:type="dxa"/>
              <w:bottom w:w="100" w:type="dxa"/>
              <w:right w:w="100" w:type="dxa"/>
            </w:tcMar>
          </w:tcPr>
          <w:p w14:paraId="7C7F8C0D"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Parcialmente</w:t>
            </w:r>
          </w:p>
        </w:tc>
        <w:tc>
          <w:tcPr>
            <w:tcW w:w="5100" w:type="dxa"/>
            <w:shd w:val="clear" w:color="auto" w:fill="auto"/>
            <w:tcMar>
              <w:top w:w="100" w:type="dxa"/>
              <w:left w:w="100" w:type="dxa"/>
              <w:bottom w:w="100" w:type="dxa"/>
              <w:right w:w="100" w:type="dxa"/>
            </w:tcMar>
          </w:tcPr>
          <w:p w14:paraId="1F422AAB" w14:textId="056C1D58" w:rsidR="004E7276" w:rsidRPr="00DF4A2D" w:rsidRDefault="00C67AD6" w:rsidP="00C67AD6">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Se</w:t>
            </w:r>
            <w:r w:rsidR="004E7276" w:rsidRPr="00DF4A2D">
              <w:rPr>
                <w:rFonts w:ascii="Calibri" w:eastAsia="Calibri" w:hAnsi="Calibri" w:cs="Calibri"/>
                <w:lang w:val="es-CR"/>
              </w:rPr>
              <w:t xml:space="preserve"> incluye la reincidencia como circunstancia agravante </w:t>
            </w:r>
            <w:r w:rsidRPr="00DF4A2D">
              <w:rPr>
                <w:rFonts w:ascii="Calibri" w:eastAsia="Calibri" w:hAnsi="Calibri" w:cs="Calibri"/>
                <w:lang w:val="es-CR"/>
              </w:rPr>
              <w:t xml:space="preserve"> únicamente respecto a los delitos de t</w:t>
            </w:r>
            <w:r w:rsidR="004E7276" w:rsidRPr="00DF4A2D">
              <w:rPr>
                <w:rFonts w:ascii="Calibri" w:eastAsia="Calibri" w:hAnsi="Calibri" w:cs="Calibri"/>
                <w:lang w:val="es-CR"/>
              </w:rPr>
              <w:t>rata de pers</w:t>
            </w:r>
            <w:r w:rsidR="002969D6">
              <w:rPr>
                <w:rFonts w:ascii="Calibri" w:eastAsia="Calibri" w:hAnsi="Calibri" w:cs="Calibri"/>
                <w:lang w:val="es-CR"/>
              </w:rPr>
              <w:t>onas en el artículo 7 de la Ley 137-03</w:t>
            </w:r>
            <w:r w:rsidRPr="00DF4A2D">
              <w:rPr>
                <w:rFonts w:ascii="Calibri" w:eastAsia="Calibri" w:hAnsi="Calibri" w:cs="Calibri"/>
                <w:lang w:val="es-CR"/>
              </w:rPr>
              <w:t>.</w:t>
            </w:r>
          </w:p>
        </w:tc>
      </w:tr>
      <w:tr w:rsidR="006B3617" w:rsidRPr="00DF4A2D" w14:paraId="46935D4D" w14:textId="77777777" w:rsidTr="00C92BE3">
        <w:tc>
          <w:tcPr>
            <w:tcW w:w="525" w:type="dxa"/>
            <w:shd w:val="clear" w:color="auto" w:fill="auto"/>
            <w:tcMar>
              <w:top w:w="100" w:type="dxa"/>
              <w:left w:w="100" w:type="dxa"/>
              <w:bottom w:w="100" w:type="dxa"/>
              <w:right w:w="100" w:type="dxa"/>
            </w:tcMar>
          </w:tcPr>
          <w:p w14:paraId="62D55A90"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12.</w:t>
            </w:r>
          </w:p>
        </w:tc>
        <w:tc>
          <w:tcPr>
            <w:tcW w:w="3690" w:type="dxa"/>
            <w:shd w:val="clear" w:color="auto" w:fill="auto"/>
            <w:tcMar>
              <w:top w:w="100" w:type="dxa"/>
              <w:left w:w="100" w:type="dxa"/>
              <w:bottom w:w="100" w:type="dxa"/>
              <w:right w:w="100" w:type="dxa"/>
            </w:tcMar>
          </w:tcPr>
          <w:p w14:paraId="3A12650B"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Proporcionar </w:t>
            </w:r>
            <w:r w:rsidRPr="00DF4A2D">
              <w:rPr>
                <w:rFonts w:ascii="Calibri" w:eastAsia="Calibri" w:hAnsi="Calibri" w:cs="Calibri"/>
                <w:b/>
                <w:lang w:val="es-CR"/>
              </w:rPr>
              <w:t>informes obligatorios</w:t>
            </w:r>
            <w:r w:rsidRPr="00DF4A2D">
              <w:rPr>
                <w:rFonts w:ascii="Calibri" w:eastAsia="Calibri" w:hAnsi="Calibri" w:cs="Calibri"/>
                <w:lang w:val="es-CR"/>
              </w:rPr>
              <w:t xml:space="preserve"> para profesiones particulares que tienen probabilidad de tener </w:t>
            </w:r>
          </w:p>
          <w:p w14:paraId="2E002A31" w14:textId="6EBB1DF3"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contacto con niñas, niños y adolescentes que puedan revelar la explotación sexual.</w:t>
            </w:r>
          </w:p>
        </w:tc>
        <w:tc>
          <w:tcPr>
            <w:tcW w:w="915" w:type="dxa"/>
            <w:shd w:val="clear" w:color="auto" w:fill="auto"/>
            <w:tcMar>
              <w:top w:w="100" w:type="dxa"/>
              <w:left w:w="100" w:type="dxa"/>
              <w:bottom w:w="100" w:type="dxa"/>
              <w:right w:w="100" w:type="dxa"/>
            </w:tcMar>
          </w:tcPr>
          <w:p w14:paraId="575F7882"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Sí</w:t>
            </w:r>
          </w:p>
        </w:tc>
        <w:tc>
          <w:tcPr>
            <w:tcW w:w="5100" w:type="dxa"/>
            <w:shd w:val="clear" w:color="auto" w:fill="auto"/>
            <w:tcMar>
              <w:top w:w="100" w:type="dxa"/>
              <w:left w:w="100" w:type="dxa"/>
              <w:bottom w:w="100" w:type="dxa"/>
              <w:right w:w="100" w:type="dxa"/>
            </w:tcMar>
          </w:tcPr>
          <w:p w14:paraId="791570C0" w14:textId="675BAE9D" w:rsidR="006B3617" w:rsidRPr="00DF4A2D" w:rsidRDefault="00671BEB" w:rsidP="00671BEB">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De acuerdo al artículo 262 del Código Procesal Penal, toda persona que tenga conocimiento de un delito sexual contra NNA puede denunciarla ante el Ministerio Público, siendo obligatoria esta obligación para todos los funcionarios públicos y profesionales de la salud.</w:t>
            </w:r>
            <w:r w:rsidRPr="00DF4A2D">
              <w:rPr>
                <w:rFonts w:ascii="Calibri" w:eastAsia="Calibri" w:hAnsi="Calibri" w:cs="Calibri"/>
                <w:lang w:val="es-CR" w:eastAsia="es-ES"/>
              </w:rPr>
              <w:t xml:space="preserve"> </w:t>
            </w:r>
            <w:r w:rsidRPr="00DF4A2D">
              <w:rPr>
                <w:rFonts w:ascii="Calibri" w:eastAsia="Calibri" w:hAnsi="Calibri" w:cs="Calibri"/>
                <w:lang w:val="es-CR"/>
              </w:rPr>
              <w:t>El artículo 14 del Código para la Protección de los Derechos de NNA expande dicha obligación de denuncia a profesionales y funcionarios, tanto públicos como privados, que en el desempeño o no de sus funciones tengan conocimiento o sospecha de una situación de abuso o de violación de los derechos de NNA y castiga el incumplimiento bajo pena de multa.</w:t>
            </w:r>
          </w:p>
        </w:tc>
      </w:tr>
      <w:tr w:rsidR="006B3617" w:rsidRPr="00DF4A2D" w14:paraId="32736B08" w14:textId="77777777" w:rsidTr="00C92BE3">
        <w:tc>
          <w:tcPr>
            <w:tcW w:w="525" w:type="dxa"/>
            <w:shd w:val="clear" w:color="auto" w:fill="auto"/>
            <w:tcMar>
              <w:top w:w="100" w:type="dxa"/>
              <w:left w:w="100" w:type="dxa"/>
              <w:bottom w:w="100" w:type="dxa"/>
              <w:right w:w="100" w:type="dxa"/>
            </w:tcMar>
          </w:tcPr>
          <w:p w14:paraId="1E6F2E03"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13.</w:t>
            </w:r>
          </w:p>
        </w:tc>
        <w:tc>
          <w:tcPr>
            <w:tcW w:w="3690" w:type="dxa"/>
            <w:shd w:val="clear" w:color="auto" w:fill="auto"/>
            <w:tcMar>
              <w:top w:w="100" w:type="dxa"/>
              <w:left w:w="100" w:type="dxa"/>
              <w:bottom w:w="100" w:type="dxa"/>
              <w:right w:w="100" w:type="dxa"/>
            </w:tcMar>
          </w:tcPr>
          <w:p w14:paraId="0A35A69B"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Establecer estándares obligatorios de protección infantil regulados por el gobierno para la industria </w:t>
            </w:r>
          </w:p>
          <w:p w14:paraId="47452C6D"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del turismo, por ejemplo, atribuir la responsabilidad a una autoridad reguladora apropiada y / o </w:t>
            </w:r>
          </w:p>
          <w:p w14:paraId="43C61A34"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implementar </w:t>
            </w:r>
            <w:r w:rsidRPr="00DF4A2D">
              <w:rPr>
                <w:rFonts w:ascii="Calibri" w:eastAsia="Calibri" w:hAnsi="Calibri" w:cs="Calibri"/>
                <w:b/>
                <w:lang w:val="es-CR"/>
              </w:rPr>
              <w:t>códigos nacionales específicos de la industria para la protección infantil</w:t>
            </w:r>
            <w:r w:rsidRPr="00DF4A2D">
              <w:rPr>
                <w:rFonts w:ascii="Calibri" w:eastAsia="Calibri" w:hAnsi="Calibri" w:cs="Calibri"/>
                <w:lang w:val="es-CR"/>
              </w:rPr>
              <w:t xml:space="preserve"> como un </w:t>
            </w:r>
          </w:p>
          <w:p w14:paraId="2A44F72B" w14:textId="21E8171B"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requisito legal para el funcionamiento de la industria de viajes y turismo.</w:t>
            </w:r>
          </w:p>
        </w:tc>
        <w:tc>
          <w:tcPr>
            <w:tcW w:w="915" w:type="dxa"/>
            <w:shd w:val="clear" w:color="auto" w:fill="auto"/>
            <w:tcMar>
              <w:top w:w="100" w:type="dxa"/>
              <w:left w:w="100" w:type="dxa"/>
              <w:bottom w:w="100" w:type="dxa"/>
              <w:right w:w="100" w:type="dxa"/>
            </w:tcMar>
          </w:tcPr>
          <w:p w14:paraId="32CAEA70"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00FFD041" w14:textId="69187A5A" w:rsidR="00671BEB" w:rsidRPr="00DF4A2D" w:rsidRDefault="00671BEB" w:rsidP="00853DE5">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La legislación actual no incluye estándares obligatorios de protección infantil regulados por el gobierno para la industria del turismo. </w:t>
            </w:r>
            <w:r w:rsidR="00653F6A" w:rsidRPr="00DF4A2D">
              <w:rPr>
                <w:rFonts w:ascii="Calibri" w:eastAsia="Calibri" w:hAnsi="Calibri" w:cs="Calibri"/>
                <w:lang w:val="es-CR"/>
              </w:rPr>
              <w:t>El nuevo código penal, pendiente de aprobación subsanaría esta carencia en sus artículos 193 y 196 al castigar la promoción, oferta y venta de República Dominicana como destino sexual de  NNA, a través de medios electrónicos, revistas, periódicos, folletos o por cualquier otro medio,  así como a quien promueve, facilita, instiga, recluta u organiza la utilización de NNA en turismo sexual. Las personas jurídicas también podrían ser declaradas responsables penalmente por estos hechos.</w:t>
            </w:r>
          </w:p>
          <w:p w14:paraId="1A95F5FB" w14:textId="77777777" w:rsidR="00671BEB" w:rsidRPr="00DF4A2D" w:rsidRDefault="00671BEB" w:rsidP="00853DE5">
            <w:pPr>
              <w:widowControl w:val="0"/>
              <w:pBdr>
                <w:top w:val="nil"/>
                <w:left w:val="nil"/>
                <w:bottom w:val="nil"/>
                <w:right w:val="nil"/>
                <w:between w:val="nil"/>
              </w:pBdr>
              <w:spacing w:line="240" w:lineRule="auto"/>
              <w:rPr>
                <w:rFonts w:ascii="Calibri" w:eastAsia="Calibri" w:hAnsi="Calibri" w:cs="Calibri"/>
                <w:lang w:val="es-CR"/>
              </w:rPr>
            </w:pPr>
          </w:p>
          <w:p w14:paraId="7AF56011" w14:textId="06295002" w:rsidR="006B3617" w:rsidRPr="00DF4A2D" w:rsidRDefault="00671BEB" w:rsidP="00B44713">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El Ministerio de Turismo y la Asociación de Hoteles y Turismo de la República dominicana han firmado un convenio para implementar el Código de Conducta para la Protección de Niños de la Explotación Sexual en Viajes y Turismo ( “</w:t>
            </w:r>
            <w:r w:rsidRPr="00DF4A2D">
              <w:rPr>
                <w:rFonts w:ascii="Calibri" w:eastAsia="Calibri" w:hAnsi="Calibri" w:cs="Calibri"/>
                <w:i/>
                <w:iCs/>
                <w:lang w:val="es-CR"/>
              </w:rPr>
              <w:t>The Code</w:t>
            </w:r>
            <w:r w:rsidRPr="00DF4A2D">
              <w:rPr>
                <w:rFonts w:ascii="Calibri" w:eastAsia="Calibri" w:hAnsi="Calibri" w:cs="Calibri"/>
                <w:lang w:val="es-CR"/>
              </w:rPr>
              <w:t>”)</w:t>
            </w:r>
            <w:r w:rsidR="00653F6A" w:rsidRPr="00DF4A2D">
              <w:rPr>
                <w:rFonts w:ascii="Calibri" w:eastAsia="Calibri" w:hAnsi="Calibri" w:cs="Calibri"/>
                <w:lang w:val="es-CR"/>
              </w:rPr>
              <w:t xml:space="preserve"> una medida de carácter voluntario por el que las </w:t>
            </w:r>
            <w:r w:rsidR="00B44713">
              <w:rPr>
                <w:rFonts w:ascii="Calibri" w:eastAsia="Calibri" w:hAnsi="Calibri" w:cs="Calibri"/>
                <w:lang w:val="es-CR"/>
              </w:rPr>
              <w:t>47</w:t>
            </w:r>
            <w:r w:rsidR="00653F6A" w:rsidRPr="00DF4A2D">
              <w:rPr>
                <w:rFonts w:ascii="Calibri" w:eastAsia="Calibri" w:hAnsi="Calibri" w:cs="Calibri"/>
                <w:lang w:val="es-CR"/>
              </w:rPr>
              <w:t xml:space="preserve"> empresas turísticas miembros</w:t>
            </w:r>
            <w:r w:rsidRPr="00DF4A2D">
              <w:rPr>
                <w:rFonts w:ascii="Calibri" w:eastAsia="Calibri" w:hAnsi="Calibri" w:cs="Calibri"/>
                <w:lang w:val="es-CR"/>
              </w:rPr>
              <w:t xml:space="preserve"> se comprometen a incorporar en su política de responsabilidad social la no tolerancia a ningún tipo de explotación infantil, capacitar a todo personal sobre cómo detectarlo y prevenirlo, a proporcionar información a los turistas mediante folletos y carteles y a establecer clausulas en sus contratos con proveedores estableciendo el rechazo común a la explotación sexual de NNA.</w:t>
            </w:r>
          </w:p>
        </w:tc>
      </w:tr>
      <w:tr w:rsidR="006B3617" w:rsidRPr="00DF4A2D" w14:paraId="51357EE8" w14:textId="77777777" w:rsidTr="00C92BE3">
        <w:tc>
          <w:tcPr>
            <w:tcW w:w="525" w:type="dxa"/>
            <w:shd w:val="clear" w:color="auto" w:fill="auto"/>
            <w:tcMar>
              <w:top w:w="100" w:type="dxa"/>
              <w:left w:w="100" w:type="dxa"/>
              <w:bottom w:w="100" w:type="dxa"/>
              <w:right w:w="100" w:type="dxa"/>
            </w:tcMar>
          </w:tcPr>
          <w:p w14:paraId="10DDD951"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14.</w:t>
            </w:r>
          </w:p>
        </w:tc>
        <w:tc>
          <w:tcPr>
            <w:tcW w:w="3690" w:type="dxa"/>
            <w:shd w:val="clear" w:color="auto" w:fill="auto"/>
            <w:tcMar>
              <w:top w:w="100" w:type="dxa"/>
              <w:left w:w="100" w:type="dxa"/>
              <w:bottom w:w="100" w:type="dxa"/>
              <w:right w:w="100" w:type="dxa"/>
            </w:tcMar>
          </w:tcPr>
          <w:p w14:paraId="11BB8628"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Garantizar </w:t>
            </w:r>
            <w:r w:rsidRPr="00DF4A2D">
              <w:rPr>
                <w:rFonts w:ascii="Calibri" w:eastAsia="Calibri" w:hAnsi="Calibri" w:cs="Calibri"/>
                <w:b/>
                <w:lang w:val="es-CR"/>
              </w:rPr>
              <w:t>la responsabilidad de las empresas</w:t>
            </w:r>
            <w:r w:rsidRPr="00DF4A2D">
              <w:rPr>
                <w:rFonts w:ascii="Calibri" w:eastAsia="Calibri" w:hAnsi="Calibri" w:cs="Calibri"/>
                <w:lang w:val="es-CR"/>
              </w:rPr>
              <w:t xml:space="preserve"> de viajes y turismo (en operaciones y cadenas de </w:t>
            </w:r>
          </w:p>
          <w:p w14:paraId="62165644"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suministro) por conductas delictivas, que incluyen:</w:t>
            </w:r>
          </w:p>
          <w:p w14:paraId="0DF84F37"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lastRenderedPageBreak/>
              <w:t xml:space="preserve">• Organizar arreglos de viaje o transporte que tengan la intención explícita o implícita de crear o </w:t>
            </w:r>
          </w:p>
          <w:p w14:paraId="0A03A2A9"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facilitar oportunidades para involucrar (involucrar) a niñas, niños y adolescentes en actividades </w:t>
            </w:r>
          </w:p>
          <w:p w14:paraId="4883F148"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sexuales;</w:t>
            </w:r>
          </w:p>
          <w:p w14:paraId="08CC205D"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Procurar, ayudar o incitar a la conducta sexual de explotación contra un niño/una niña/adolescente;</w:t>
            </w:r>
          </w:p>
          <w:p w14:paraId="1A025506"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Hacer publicidad de o promover la explotación sexual de NNA;</w:t>
            </w:r>
          </w:p>
          <w:p w14:paraId="6684745C"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 Beneficiarse, por cualquier medio, de cualquier forma de explotación sexual de un niño/una </w:t>
            </w:r>
          </w:p>
          <w:p w14:paraId="095497E8" w14:textId="0270DB92"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niña/adolescente (o niños/adolescentes) en el contexto de su negocio de viajes y turismo.</w:t>
            </w:r>
          </w:p>
        </w:tc>
        <w:tc>
          <w:tcPr>
            <w:tcW w:w="915" w:type="dxa"/>
            <w:shd w:val="clear" w:color="auto" w:fill="auto"/>
            <w:tcMar>
              <w:top w:w="100" w:type="dxa"/>
              <w:left w:w="100" w:type="dxa"/>
              <w:bottom w:w="100" w:type="dxa"/>
              <w:right w:w="100" w:type="dxa"/>
            </w:tcMar>
          </w:tcPr>
          <w:p w14:paraId="0D5449FE" w14:textId="3BAAB5A7" w:rsidR="006B3617" w:rsidRPr="00DF4A2D" w:rsidRDefault="00653F6A"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No*</w:t>
            </w:r>
            <w:r w:rsidRPr="00DF4A2D">
              <w:rPr>
                <w:rStyle w:val="FootnoteReference"/>
                <w:rFonts w:ascii="Calibri" w:eastAsia="Calibri" w:hAnsi="Calibri" w:cs="Calibri"/>
                <w:lang w:val="es-CR"/>
              </w:rPr>
              <w:footnoteReference w:id="1"/>
            </w:r>
          </w:p>
        </w:tc>
        <w:tc>
          <w:tcPr>
            <w:tcW w:w="5100" w:type="dxa"/>
            <w:shd w:val="clear" w:color="auto" w:fill="auto"/>
            <w:tcMar>
              <w:top w:w="100" w:type="dxa"/>
              <w:left w:w="100" w:type="dxa"/>
              <w:bottom w:w="100" w:type="dxa"/>
              <w:right w:w="100" w:type="dxa"/>
            </w:tcMar>
          </w:tcPr>
          <w:p w14:paraId="2245B88D" w14:textId="77777777" w:rsidR="00653F6A" w:rsidRPr="00DF4A2D" w:rsidRDefault="00653F6A" w:rsidP="00653F6A">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La legislación actual no incluye estándares obligatorios de protección infantil regulados por el gobierno para la industria del turismo. El nuevo código penal, pendiente de aprobación subsanaría esta carencia en sus artículos 193 y 196 al castigar la promoción, oferta </w:t>
            </w:r>
            <w:r w:rsidRPr="00DF4A2D">
              <w:rPr>
                <w:rFonts w:ascii="Calibri" w:eastAsia="Calibri" w:hAnsi="Calibri" w:cs="Calibri"/>
                <w:lang w:val="es-CR"/>
              </w:rPr>
              <w:lastRenderedPageBreak/>
              <w:t>y venta de República Dominicana como destino sexual de  NNA, a través de medios electrónicos, revistas, periódicos, folletos o por cualquier otro medio,  así como a quien promueve, facilita, instiga, recluta u organiza la utilización de NNA en turismo sexual. Las personas jurídicas también podrían ser declaradas responsables penalmente por estos hechos.</w:t>
            </w:r>
          </w:p>
          <w:p w14:paraId="457FC1AA" w14:textId="5F472E86"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DF4A2D" w14:paraId="2FCF79C8" w14:textId="77777777" w:rsidTr="00C92BE3">
        <w:tc>
          <w:tcPr>
            <w:tcW w:w="525" w:type="dxa"/>
            <w:shd w:val="clear" w:color="auto" w:fill="auto"/>
            <w:tcMar>
              <w:top w:w="100" w:type="dxa"/>
              <w:left w:w="100" w:type="dxa"/>
              <w:bottom w:w="100" w:type="dxa"/>
              <w:right w:w="100" w:type="dxa"/>
            </w:tcMar>
          </w:tcPr>
          <w:p w14:paraId="0C52768E"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15.</w:t>
            </w:r>
          </w:p>
        </w:tc>
        <w:tc>
          <w:tcPr>
            <w:tcW w:w="3690" w:type="dxa"/>
            <w:shd w:val="clear" w:color="auto" w:fill="auto"/>
            <w:tcMar>
              <w:top w:w="100" w:type="dxa"/>
              <w:left w:w="100" w:type="dxa"/>
              <w:bottom w:w="100" w:type="dxa"/>
              <w:right w:w="100" w:type="dxa"/>
            </w:tcMar>
          </w:tcPr>
          <w:p w14:paraId="3A048FDA"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b/>
                <w:lang w:val="es-CR"/>
              </w:rPr>
              <w:t>Penalizar el grooming de niñas, niños y adolescentes con fines sexuales</w:t>
            </w:r>
            <w:r w:rsidRPr="00DF4A2D">
              <w:rPr>
                <w:rFonts w:ascii="Calibri" w:eastAsia="Calibri" w:hAnsi="Calibri" w:cs="Calibri"/>
                <w:lang w:val="es-CR"/>
              </w:rPr>
              <w:t xml:space="preserve"> (a menudo denominado </w:t>
            </w:r>
          </w:p>
          <w:p w14:paraId="5C0F75DC"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“solicitación” según la ley) incluso a través de Internet y otras tecnologías de la comunicación para </w:t>
            </w:r>
          </w:p>
          <w:p w14:paraId="529AEB1E" w14:textId="582966B1"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facilitar la explotación sexual en línea o fuera de línea.</w:t>
            </w:r>
          </w:p>
        </w:tc>
        <w:tc>
          <w:tcPr>
            <w:tcW w:w="915" w:type="dxa"/>
            <w:shd w:val="clear" w:color="auto" w:fill="auto"/>
            <w:tcMar>
              <w:top w:w="100" w:type="dxa"/>
              <w:left w:w="100" w:type="dxa"/>
              <w:bottom w:w="100" w:type="dxa"/>
              <w:right w:w="100" w:type="dxa"/>
            </w:tcMar>
          </w:tcPr>
          <w:p w14:paraId="1C3ACD52" w14:textId="6B9D9A2C" w:rsidR="006B3617" w:rsidRPr="00DF4A2D" w:rsidRDefault="00B44713" w:rsidP="006B3617">
            <w:pPr>
              <w:widowControl w:val="0"/>
              <w:spacing w:line="240" w:lineRule="auto"/>
              <w:rPr>
                <w:rFonts w:ascii="Calibri" w:eastAsia="Calibri" w:hAnsi="Calibri" w:cs="Calibri"/>
                <w:lang w:val="es-CR"/>
              </w:rPr>
            </w:pPr>
            <w:r>
              <w:rPr>
                <w:rFonts w:ascii="Calibri" w:eastAsia="Calibri" w:hAnsi="Calibri" w:cs="Calibri"/>
                <w:lang w:val="es-CR"/>
              </w:rPr>
              <w:t>No</w:t>
            </w:r>
          </w:p>
        </w:tc>
        <w:tc>
          <w:tcPr>
            <w:tcW w:w="5100" w:type="dxa"/>
            <w:shd w:val="clear" w:color="auto" w:fill="auto"/>
            <w:tcMar>
              <w:top w:w="100" w:type="dxa"/>
              <w:left w:w="100" w:type="dxa"/>
              <w:bottom w:w="100" w:type="dxa"/>
              <w:right w:w="100" w:type="dxa"/>
            </w:tcMar>
          </w:tcPr>
          <w:p w14:paraId="16E37A17" w14:textId="0BEF901C" w:rsidR="007B4101" w:rsidRPr="00DF4A2D" w:rsidRDefault="00B44713" w:rsidP="00B44713">
            <w:pPr>
              <w:widowControl w:val="0"/>
              <w:pBdr>
                <w:top w:val="nil"/>
                <w:left w:val="nil"/>
                <w:bottom w:val="nil"/>
                <w:right w:val="nil"/>
                <w:between w:val="nil"/>
              </w:pBdr>
              <w:spacing w:line="240" w:lineRule="auto"/>
              <w:rPr>
                <w:rFonts w:ascii="Calibri" w:eastAsia="Calibri" w:hAnsi="Calibri" w:cs="Calibri"/>
                <w:lang w:val="es-CR"/>
              </w:rPr>
            </w:pPr>
            <w:r w:rsidRPr="00B44713">
              <w:rPr>
                <w:rFonts w:ascii="Calibri" w:eastAsia="Calibri" w:hAnsi="Calibri" w:cs="Calibri"/>
                <w:lang w:val="es-CR" w:eastAsia="es-ES"/>
              </w:rPr>
              <w:t xml:space="preserve">A pesar de las evidentes mejoras del nuevo Código penal en la persecución de la explotación sexual de NNA en línea, todavía se presentan deficiencias en tanto que no existen provisiones que castiguen explícitamente la </w:t>
            </w:r>
            <w:r>
              <w:rPr>
                <w:rFonts w:ascii="Calibri" w:eastAsia="Calibri" w:hAnsi="Calibri" w:cs="Calibri"/>
                <w:lang w:val="es-CR" w:eastAsia="es-ES"/>
              </w:rPr>
              <w:t>solicitación</w:t>
            </w:r>
            <w:r w:rsidRPr="00B44713">
              <w:rPr>
                <w:rFonts w:ascii="Calibri" w:eastAsia="Calibri" w:hAnsi="Calibri" w:cs="Calibri"/>
                <w:lang w:val="es-CR" w:eastAsia="es-ES"/>
              </w:rPr>
              <w:t xml:space="preserve"> a NNA con fines sexuales (“grooming”) en línea. </w:t>
            </w:r>
          </w:p>
        </w:tc>
      </w:tr>
      <w:tr w:rsidR="006B3617" w:rsidRPr="00DF4A2D" w14:paraId="663A2FEE" w14:textId="77777777" w:rsidTr="00C92BE3">
        <w:tc>
          <w:tcPr>
            <w:tcW w:w="525" w:type="dxa"/>
            <w:shd w:val="clear" w:color="auto" w:fill="auto"/>
            <w:tcMar>
              <w:top w:w="100" w:type="dxa"/>
              <w:left w:w="100" w:type="dxa"/>
              <w:bottom w:w="100" w:type="dxa"/>
              <w:right w:w="100" w:type="dxa"/>
            </w:tcMar>
          </w:tcPr>
          <w:p w14:paraId="457FB4B0"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16. </w:t>
            </w:r>
          </w:p>
        </w:tc>
        <w:tc>
          <w:tcPr>
            <w:tcW w:w="3690" w:type="dxa"/>
            <w:shd w:val="clear" w:color="auto" w:fill="auto"/>
            <w:tcMar>
              <w:top w:w="100" w:type="dxa"/>
              <w:left w:w="100" w:type="dxa"/>
              <w:bottom w:w="100" w:type="dxa"/>
              <w:right w:w="100" w:type="dxa"/>
            </w:tcMar>
          </w:tcPr>
          <w:p w14:paraId="4F43A545" w14:textId="340785E6"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Establecer una legislación que requiera </w:t>
            </w:r>
            <w:r w:rsidRPr="00DF4A2D">
              <w:rPr>
                <w:rFonts w:ascii="Calibri" w:eastAsia="Calibri" w:hAnsi="Calibri" w:cs="Calibri"/>
                <w:b/>
                <w:lang w:val="es-CR"/>
              </w:rPr>
              <w:t>una verificación de antecedentes penales</w:t>
            </w:r>
            <w:r w:rsidRPr="00DF4A2D">
              <w:rPr>
                <w:rFonts w:ascii="Calibri" w:eastAsia="Calibri" w:hAnsi="Calibri" w:cs="Calibri"/>
                <w:lang w:val="es-CR"/>
              </w:rPr>
              <w:t xml:space="preserve"> para cada persona (nacional o no nacional) que solicite trabajo con o para niñas, niños y adolescentes (NNA), o que esté trabajando actualmente con o para NNA. Introducir legislación que prohíba a los delincuentes sexuales condenados ocupar cargos que impliquen o faciliten el contacto con niñas/niños/adolescentes.</w:t>
            </w:r>
          </w:p>
        </w:tc>
        <w:tc>
          <w:tcPr>
            <w:tcW w:w="915" w:type="dxa"/>
            <w:shd w:val="clear" w:color="auto" w:fill="auto"/>
            <w:tcMar>
              <w:top w:w="100" w:type="dxa"/>
              <w:left w:w="100" w:type="dxa"/>
              <w:bottom w:w="100" w:type="dxa"/>
              <w:right w:w="100" w:type="dxa"/>
            </w:tcMar>
          </w:tcPr>
          <w:p w14:paraId="71282008" w14:textId="3AB4A6FD" w:rsidR="006B3617" w:rsidRPr="00DF4A2D" w:rsidRDefault="00D72B4C"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lang w:val="es-CR"/>
              </w:rPr>
              <w:t>No</w:t>
            </w:r>
          </w:p>
        </w:tc>
        <w:tc>
          <w:tcPr>
            <w:tcW w:w="5100" w:type="dxa"/>
            <w:shd w:val="clear" w:color="auto" w:fill="auto"/>
            <w:tcMar>
              <w:top w:w="100" w:type="dxa"/>
              <w:left w:w="100" w:type="dxa"/>
              <w:bottom w:w="100" w:type="dxa"/>
              <w:right w:w="100" w:type="dxa"/>
            </w:tcMar>
          </w:tcPr>
          <w:p w14:paraId="5E971CD6" w14:textId="5CA83F5C" w:rsidR="006B3617" w:rsidRPr="00DF4A2D" w:rsidRDefault="00D72B4C" w:rsidP="00D72B4C">
            <w:pPr>
              <w:widowControl w:val="0"/>
              <w:spacing w:line="240" w:lineRule="auto"/>
              <w:rPr>
                <w:rFonts w:ascii="Calibri" w:eastAsia="Calibri" w:hAnsi="Calibri" w:cs="Calibri"/>
                <w:lang w:val="es-CR"/>
              </w:rPr>
            </w:pPr>
            <w:r>
              <w:rPr>
                <w:rFonts w:ascii="Calibri" w:eastAsia="Calibri" w:hAnsi="Calibri" w:cs="Calibri"/>
                <w:lang w:val="es-CR"/>
              </w:rPr>
              <w:t xml:space="preserve">No se ha encontrado marco legal que regule la verificación de antecedentes penales para personas que trabajen con NNA y que prohíba a los delincuentes sexuales ocupar cargos que impliquen contactos con NNA. </w:t>
            </w:r>
          </w:p>
        </w:tc>
      </w:tr>
      <w:tr w:rsidR="006B3617" w:rsidRPr="00DF4A2D" w14:paraId="70910668" w14:textId="77777777" w:rsidTr="00C92BE3">
        <w:tc>
          <w:tcPr>
            <w:tcW w:w="525" w:type="dxa"/>
            <w:shd w:val="clear" w:color="auto" w:fill="auto"/>
            <w:tcMar>
              <w:top w:w="100" w:type="dxa"/>
              <w:left w:w="100" w:type="dxa"/>
              <w:bottom w:w="100" w:type="dxa"/>
              <w:right w:w="100" w:type="dxa"/>
            </w:tcMar>
          </w:tcPr>
          <w:p w14:paraId="614DB6C5"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17.</w:t>
            </w:r>
          </w:p>
        </w:tc>
        <w:tc>
          <w:tcPr>
            <w:tcW w:w="3690" w:type="dxa"/>
            <w:shd w:val="clear" w:color="auto" w:fill="auto"/>
            <w:tcMar>
              <w:top w:w="100" w:type="dxa"/>
              <w:left w:w="100" w:type="dxa"/>
              <w:bottom w:w="100" w:type="dxa"/>
              <w:right w:w="100" w:type="dxa"/>
            </w:tcMar>
          </w:tcPr>
          <w:p w14:paraId="1F5D1D0D"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b/>
                <w:lang w:val="es-CR"/>
              </w:rPr>
              <w:t>Regular y supervisar el uso de voluntarios</w:t>
            </w:r>
            <w:r w:rsidRPr="00DF4A2D">
              <w:rPr>
                <w:rFonts w:ascii="Calibri" w:eastAsia="Calibri" w:hAnsi="Calibri" w:cs="Calibri"/>
                <w:lang w:val="es-CR"/>
              </w:rPr>
              <w:t xml:space="preserve"> (incluido el “volunturismo”) en entornos y actividades que impliquen contacto directo con niñas, niños y adolescentes, en particular prohibiendo las visitas </w:t>
            </w:r>
          </w:p>
          <w:p w14:paraId="52304CA5"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a orfanatos / entornos de atención residencial a favor de reorientar la industria hacia soluciones </w:t>
            </w:r>
          </w:p>
          <w:p w14:paraId="7D698053" w14:textId="21F93660"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que apoyen la atención basada en la comunidad.</w:t>
            </w:r>
          </w:p>
        </w:tc>
        <w:tc>
          <w:tcPr>
            <w:tcW w:w="915" w:type="dxa"/>
            <w:shd w:val="clear" w:color="auto" w:fill="auto"/>
            <w:tcMar>
              <w:top w:w="100" w:type="dxa"/>
              <w:left w:w="100" w:type="dxa"/>
              <w:bottom w:w="100" w:type="dxa"/>
              <w:right w:w="100" w:type="dxa"/>
            </w:tcMar>
          </w:tcPr>
          <w:p w14:paraId="536CEB69"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No</w:t>
            </w:r>
          </w:p>
        </w:tc>
        <w:tc>
          <w:tcPr>
            <w:tcW w:w="5100" w:type="dxa"/>
            <w:shd w:val="clear" w:color="auto" w:fill="auto"/>
            <w:tcMar>
              <w:top w:w="100" w:type="dxa"/>
              <w:left w:w="100" w:type="dxa"/>
              <w:bottom w:w="100" w:type="dxa"/>
              <w:right w:w="100" w:type="dxa"/>
            </w:tcMar>
          </w:tcPr>
          <w:p w14:paraId="148FED58" w14:textId="00CA63EA" w:rsidR="006B3617" w:rsidRPr="00DF4A2D" w:rsidRDefault="008951CC" w:rsidP="006B3617">
            <w:pPr>
              <w:widowControl w:val="0"/>
              <w:spacing w:line="240" w:lineRule="auto"/>
              <w:rPr>
                <w:rFonts w:ascii="Calibri" w:eastAsia="Calibri" w:hAnsi="Calibri" w:cs="Calibri"/>
                <w:highlight w:val="yellow"/>
                <w:lang w:val="es-CR"/>
              </w:rPr>
            </w:pPr>
            <w:r w:rsidRPr="00DF4A2D">
              <w:rPr>
                <w:rFonts w:ascii="Calibri" w:eastAsia="Calibri" w:hAnsi="Calibri" w:cs="Calibri"/>
                <w:lang w:val="es-CR"/>
              </w:rPr>
              <w:t>No se ha encontrado marco legal que regule la participación de voluntarios internacionales en instituciones y actividades en las que hay NNA presentes.</w:t>
            </w:r>
          </w:p>
        </w:tc>
      </w:tr>
      <w:tr w:rsidR="006B3617" w:rsidRPr="00DF4A2D" w14:paraId="700232CA" w14:textId="77777777" w:rsidTr="00C92BE3">
        <w:tc>
          <w:tcPr>
            <w:tcW w:w="525" w:type="dxa"/>
            <w:shd w:val="clear" w:color="auto" w:fill="auto"/>
            <w:tcMar>
              <w:top w:w="100" w:type="dxa"/>
              <w:left w:w="100" w:type="dxa"/>
              <w:bottom w:w="100" w:type="dxa"/>
              <w:right w:w="100" w:type="dxa"/>
            </w:tcMar>
          </w:tcPr>
          <w:p w14:paraId="06AFC1E4"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18.</w:t>
            </w:r>
          </w:p>
        </w:tc>
        <w:tc>
          <w:tcPr>
            <w:tcW w:w="3690" w:type="dxa"/>
            <w:shd w:val="clear" w:color="auto" w:fill="auto"/>
            <w:tcMar>
              <w:top w:w="100" w:type="dxa"/>
              <w:left w:w="100" w:type="dxa"/>
              <w:bottom w:w="100" w:type="dxa"/>
              <w:right w:w="100" w:type="dxa"/>
            </w:tcMar>
          </w:tcPr>
          <w:p w14:paraId="712E1F48"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Ratificar y aplicar </w:t>
            </w:r>
            <w:r w:rsidRPr="00DF4A2D">
              <w:rPr>
                <w:rFonts w:ascii="Calibri" w:eastAsia="Calibri" w:hAnsi="Calibri" w:cs="Calibri"/>
                <w:b/>
                <w:lang w:val="es-CR"/>
              </w:rPr>
              <w:t>los instrumentos regionales e internacionales</w:t>
            </w:r>
            <w:r w:rsidRPr="00DF4A2D">
              <w:rPr>
                <w:rFonts w:ascii="Calibri" w:eastAsia="Calibri" w:hAnsi="Calibri" w:cs="Calibri"/>
                <w:lang w:val="es-CR"/>
              </w:rPr>
              <w:t xml:space="preserve"> pertinentes relacionados con los </w:t>
            </w:r>
          </w:p>
          <w:p w14:paraId="1FADEFEB" w14:textId="1172FC6E"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derechos del niño y la explotación sexual de niñas, niños y adolescentes.</w:t>
            </w:r>
          </w:p>
        </w:tc>
        <w:tc>
          <w:tcPr>
            <w:tcW w:w="915" w:type="dxa"/>
            <w:shd w:val="clear" w:color="auto" w:fill="auto"/>
            <w:tcMar>
              <w:top w:w="100" w:type="dxa"/>
              <w:left w:w="100" w:type="dxa"/>
              <w:bottom w:w="100" w:type="dxa"/>
              <w:right w:w="100" w:type="dxa"/>
            </w:tcMar>
          </w:tcPr>
          <w:p w14:paraId="6ED9C4AA" w14:textId="77777777" w:rsidR="006B3617" w:rsidRPr="00DF4A2D" w:rsidRDefault="006B3617" w:rsidP="006B3617">
            <w:pPr>
              <w:widowControl w:val="0"/>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187621EE" w14:textId="6D44D435" w:rsidR="008951CC" w:rsidRPr="00DF4A2D" w:rsidRDefault="008951CC" w:rsidP="008951CC">
            <w:pPr>
              <w:pStyle w:val="ListParagraph"/>
              <w:widowControl w:val="0"/>
              <w:numPr>
                <w:ilvl w:val="0"/>
                <w:numId w:val="4"/>
              </w:numPr>
              <w:spacing w:line="240" w:lineRule="auto"/>
              <w:rPr>
                <w:rFonts w:ascii="Calibri" w:eastAsia="Calibri" w:hAnsi="Calibri" w:cs="Calibri"/>
                <w:lang w:val="es-CR"/>
              </w:rPr>
            </w:pPr>
            <w:r w:rsidRPr="00DF4A2D">
              <w:rPr>
                <w:rFonts w:ascii="Calibri" w:eastAsia="Calibri" w:hAnsi="Calibri" w:cs="Calibri"/>
                <w:lang w:val="es-CR"/>
              </w:rPr>
              <w:t>Convención sobre los Derechos del Niño  - ratificado en 1991.</w:t>
            </w:r>
          </w:p>
          <w:p w14:paraId="070056E5" w14:textId="62D05474" w:rsidR="008951CC" w:rsidRPr="00DF4A2D" w:rsidRDefault="008951CC" w:rsidP="008951CC">
            <w:pPr>
              <w:pStyle w:val="ListParagraph"/>
              <w:widowControl w:val="0"/>
              <w:numPr>
                <w:ilvl w:val="0"/>
                <w:numId w:val="4"/>
              </w:numPr>
              <w:spacing w:line="240" w:lineRule="auto"/>
              <w:rPr>
                <w:rFonts w:ascii="Calibri" w:eastAsia="Calibri" w:hAnsi="Calibri" w:cs="Calibri"/>
                <w:lang w:val="es-CR"/>
              </w:rPr>
            </w:pPr>
            <w:r w:rsidRPr="00DF4A2D">
              <w:rPr>
                <w:rFonts w:ascii="Calibri" w:eastAsia="Calibri" w:hAnsi="Calibri" w:cs="Calibri"/>
                <w:lang w:val="es-CR"/>
              </w:rPr>
              <w:t>Protocolo facultativo de la Convención sobre los Derechos del Niño relativo a la venta de niños, la prostitución infantil y la utilización de niños en la pornografía – ratificado en 2006.</w:t>
            </w:r>
          </w:p>
          <w:p w14:paraId="331241D8" w14:textId="2902930E" w:rsidR="008951CC" w:rsidRPr="00DF4A2D" w:rsidRDefault="008951CC" w:rsidP="008951CC">
            <w:pPr>
              <w:pStyle w:val="ListParagraph"/>
              <w:widowControl w:val="0"/>
              <w:numPr>
                <w:ilvl w:val="0"/>
                <w:numId w:val="4"/>
              </w:numPr>
              <w:spacing w:line="240" w:lineRule="auto"/>
              <w:rPr>
                <w:rFonts w:ascii="Calibri" w:eastAsia="Calibri" w:hAnsi="Calibri" w:cs="Calibri"/>
                <w:lang w:val="es-CR"/>
              </w:rPr>
            </w:pPr>
            <w:r w:rsidRPr="00DF4A2D">
              <w:rPr>
                <w:rFonts w:ascii="Calibri" w:eastAsia="Calibri" w:hAnsi="Calibri" w:cs="Calibri"/>
                <w:lang w:val="es-CR"/>
              </w:rPr>
              <w:t>Convenio No. 182 de la OIT sobre las peores formas de trabajo infantil – ratificado en 2000.</w:t>
            </w:r>
          </w:p>
          <w:p w14:paraId="591CCB88" w14:textId="0D4B9E3F" w:rsidR="006B3617" w:rsidRPr="00DF4A2D" w:rsidRDefault="008951CC" w:rsidP="008951CC">
            <w:pPr>
              <w:pStyle w:val="ListParagraph"/>
              <w:widowControl w:val="0"/>
              <w:numPr>
                <w:ilvl w:val="0"/>
                <w:numId w:val="4"/>
              </w:numPr>
              <w:spacing w:line="240" w:lineRule="auto"/>
              <w:rPr>
                <w:rFonts w:ascii="Times New Roman" w:hAnsi="Times New Roman" w:cs="Times New Roman"/>
                <w:sz w:val="24"/>
                <w:szCs w:val="24"/>
                <w:lang w:val="es-CR"/>
              </w:rPr>
            </w:pPr>
            <w:r w:rsidRPr="00DF4A2D">
              <w:rPr>
                <w:rFonts w:ascii="Calibri" w:eastAsia="Calibri" w:hAnsi="Calibri" w:cs="Calibri"/>
                <w:lang w:val="es-CR"/>
              </w:rPr>
              <w:t>Protocolo de las Naciones Unidas para prevenir, reprimir y sancionar la trata de personas, especialmente mujeres y niños – ratificado en 2008.</w:t>
            </w:r>
          </w:p>
          <w:p w14:paraId="1FAE63D4" w14:textId="77777777" w:rsidR="002969D6" w:rsidRPr="002969D6" w:rsidRDefault="00451205" w:rsidP="008951CC">
            <w:pPr>
              <w:pStyle w:val="ListParagraph"/>
              <w:widowControl w:val="0"/>
              <w:numPr>
                <w:ilvl w:val="0"/>
                <w:numId w:val="4"/>
              </w:numPr>
              <w:spacing w:line="240" w:lineRule="auto"/>
              <w:rPr>
                <w:rFonts w:ascii="Times New Roman" w:hAnsi="Times New Roman" w:cs="Times New Roman"/>
                <w:sz w:val="24"/>
                <w:szCs w:val="24"/>
                <w:lang w:val="es-CR"/>
              </w:rPr>
            </w:pPr>
            <w:r w:rsidRPr="00DF4A2D">
              <w:rPr>
                <w:rFonts w:ascii="Calibri" w:eastAsia="Calibri" w:hAnsi="Calibri" w:cs="Calibri"/>
                <w:lang w:val="es-CR"/>
              </w:rPr>
              <w:t>Convención Interamericana para Prevenir, Sancionar y Erradicar la Violencia contra la Mujer (1994) – Ratificado en 1996</w:t>
            </w:r>
          </w:p>
          <w:p w14:paraId="53C9E7C1" w14:textId="003891F6" w:rsidR="008951CC" w:rsidRPr="00DF4A2D" w:rsidRDefault="008951CC" w:rsidP="008951CC">
            <w:pPr>
              <w:pStyle w:val="ListParagraph"/>
              <w:widowControl w:val="0"/>
              <w:numPr>
                <w:ilvl w:val="0"/>
                <w:numId w:val="4"/>
              </w:numPr>
              <w:spacing w:line="240" w:lineRule="auto"/>
              <w:rPr>
                <w:rFonts w:ascii="Times New Roman" w:hAnsi="Times New Roman" w:cs="Times New Roman"/>
                <w:sz w:val="24"/>
                <w:szCs w:val="24"/>
                <w:lang w:val="es-CR"/>
              </w:rPr>
            </w:pPr>
            <w:r w:rsidRPr="00DF4A2D">
              <w:rPr>
                <w:rFonts w:ascii="Calibri" w:eastAsia="Calibri" w:hAnsi="Calibri" w:cs="Calibri"/>
                <w:lang w:val="es-CR"/>
              </w:rPr>
              <w:t>Convención Interamericana sobre Tráfico Internacional de Menores</w:t>
            </w:r>
            <w:r w:rsidR="00451205" w:rsidRPr="00DF4A2D">
              <w:rPr>
                <w:rFonts w:ascii="Calibri" w:eastAsia="Calibri" w:hAnsi="Calibri" w:cs="Calibri"/>
                <w:lang w:val="es-CR"/>
              </w:rPr>
              <w:t xml:space="preserve"> - ratificado en 2011. </w:t>
            </w:r>
          </w:p>
          <w:p w14:paraId="5D95AA07" w14:textId="77777777" w:rsidR="00451205" w:rsidRPr="00DF4A2D" w:rsidRDefault="00451205" w:rsidP="00451205">
            <w:pPr>
              <w:widowControl w:val="0"/>
              <w:numPr>
                <w:ilvl w:val="0"/>
                <w:numId w:val="1"/>
              </w:numPr>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Convenio del Consejo de Europa sobre la ciberdelincuencia (Convenio de Budapest) – ratificado en 2013</w:t>
            </w:r>
          </w:p>
          <w:p w14:paraId="4867AAC4" w14:textId="6E0EA6D9" w:rsidR="00451205" w:rsidRPr="00DF4A2D" w:rsidRDefault="00451205" w:rsidP="00451205">
            <w:pPr>
              <w:widowControl w:val="0"/>
              <w:numPr>
                <w:ilvl w:val="0"/>
                <w:numId w:val="1"/>
              </w:numPr>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Protocolo facultativo de la Convención sobre los Derechos del Niño relativo a un procedimiento de comunicaciones (OP3 CDN) – </w:t>
            </w:r>
            <w:r w:rsidRPr="00DF4A2D">
              <w:rPr>
                <w:rFonts w:ascii="Calibri" w:eastAsia="Calibri" w:hAnsi="Calibri" w:cs="Calibri"/>
                <w:color w:val="FF0000"/>
                <w:lang w:val="es-CR"/>
              </w:rPr>
              <w:t>No ratificado</w:t>
            </w:r>
          </w:p>
          <w:p w14:paraId="535C793D" w14:textId="77777777" w:rsidR="008951CC" w:rsidRPr="00DF4A2D" w:rsidRDefault="008951CC" w:rsidP="008951CC">
            <w:pPr>
              <w:widowControl w:val="0"/>
              <w:numPr>
                <w:ilvl w:val="0"/>
                <w:numId w:val="1"/>
              </w:numPr>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highlight w:val="white"/>
                <w:lang w:val="es-CR"/>
              </w:rPr>
              <w:t xml:space="preserve">Convención Marco de la OMT sobre Ética del Turismo - </w:t>
            </w:r>
            <w:r w:rsidRPr="00DF4A2D">
              <w:rPr>
                <w:rFonts w:ascii="Calibri" w:eastAsia="Calibri" w:hAnsi="Calibri" w:cs="Calibri"/>
                <w:color w:val="FF0000"/>
                <w:highlight w:val="white"/>
                <w:lang w:val="es-CR"/>
              </w:rPr>
              <w:t>No ratificado.</w:t>
            </w:r>
          </w:p>
          <w:p w14:paraId="1DA3FC71" w14:textId="77777777" w:rsidR="008951CC" w:rsidRPr="00DF4A2D" w:rsidRDefault="008951CC" w:rsidP="008951CC">
            <w:pPr>
              <w:widowControl w:val="0"/>
              <w:numPr>
                <w:ilvl w:val="0"/>
                <w:numId w:val="1"/>
              </w:numPr>
              <w:spacing w:line="240" w:lineRule="auto"/>
              <w:rPr>
                <w:rFonts w:ascii="Calibri" w:eastAsia="Calibri" w:hAnsi="Calibri" w:cs="Calibri"/>
                <w:lang w:val="es-CR"/>
              </w:rPr>
            </w:pPr>
            <w:r w:rsidRPr="00DF4A2D">
              <w:rPr>
                <w:rFonts w:ascii="Calibri" w:eastAsia="Calibri" w:hAnsi="Calibri" w:cs="Calibri"/>
                <w:lang w:val="es-CR"/>
              </w:rPr>
              <w:t>Convenio del Consejo de Europa sobre la protección de las niñas, los niños y los adolescentes contra la</w:t>
            </w:r>
          </w:p>
          <w:p w14:paraId="37184861" w14:textId="77777777" w:rsidR="008951CC" w:rsidRPr="00DF4A2D" w:rsidRDefault="008951CC" w:rsidP="008951CC">
            <w:pPr>
              <w:widowControl w:val="0"/>
              <w:spacing w:line="240" w:lineRule="auto"/>
              <w:ind w:left="720"/>
              <w:rPr>
                <w:rFonts w:ascii="Calibri" w:eastAsia="Calibri" w:hAnsi="Calibri" w:cs="Calibri"/>
                <w:lang w:val="es-CR"/>
              </w:rPr>
            </w:pPr>
            <w:r w:rsidRPr="00DF4A2D">
              <w:rPr>
                <w:rFonts w:ascii="Calibri" w:eastAsia="Calibri" w:hAnsi="Calibri" w:cs="Calibri"/>
                <w:lang w:val="es-CR"/>
              </w:rPr>
              <w:t xml:space="preserve">explotación y el abuso sexual (Convenio de Lanzarote) - </w:t>
            </w:r>
            <w:r w:rsidRPr="00DF4A2D">
              <w:rPr>
                <w:rFonts w:ascii="Calibri" w:eastAsia="Calibri" w:hAnsi="Calibri" w:cs="Calibri"/>
                <w:color w:val="FF0000"/>
                <w:lang w:val="es-CR"/>
              </w:rPr>
              <w:t>No ratificado</w:t>
            </w:r>
          </w:p>
          <w:p w14:paraId="2AC20338" w14:textId="724F29A1" w:rsidR="008951CC" w:rsidRPr="00DF4A2D" w:rsidRDefault="008951CC" w:rsidP="00451205">
            <w:pPr>
              <w:pStyle w:val="ListParagraph"/>
              <w:widowControl w:val="0"/>
              <w:spacing w:line="240" w:lineRule="auto"/>
              <w:rPr>
                <w:rFonts w:ascii="Times New Roman" w:hAnsi="Times New Roman" w:cs="Times New Roman"/>
                <w:sz w:val="24"/>
                <w:szCs w:val="24"/>
                <w:lang w:val="es-CR"/>
              </w:rPr>
            </w:pPr>
          </w:p>
        </w:tc>
      </w:tr>
      <w:tr w:rsidR="006B3617" w:rsidRPr="00DF4A2D" w14:paraId="1435E277" w14:textId="77777777" w:rsidTr="00C92BE3">
        <w:tc>
          <w:tcPr>
            <w:tcW w:w="525" w:type="dxa"/>
            <w:shd w:val="clear" w:color="auto" w:fill="auto"/>
            <w:tcMar>
              <w:top w:w="100" w:type="dxa"/>
              <w:left w:w="100" w:type="dxa"/>
              <w:bottom w:w="100" w:type="dxa"/>
              <w:right w:w="100" w:type="dxa"/>
            </w:tcMar>
          </w:tcPr>
          <w:p w14:paraId="1F63591C"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19.</w:t>
            </w:r>
          </w:p>
        </w:tc>
        <w:tc>
          <w:tcPr>
            <w:tcW w:w="3690" w:type="dxa"/>
            <w:shd w:val="clear" w:color="auto" w:fill="auto"/>
            <w:tcMar>
              <w:top w:w="100" w:type="dxa"/>
              <w:left w:w="100" w:type="dxa"/>
              <w:bottom w:w="100" w:type="dxa"/>
              <w:right w:w="100" w:type="dxa"/>
            </w:tcMar>
          </w:tcPr>
          <w:p w14:paraId="415E4609" w14:textId="63845AB0"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Establecer </w:t>
            </w:r>
            <w:r w:rsidRPr="00DF4A2D">
              <w:rPr>
                <w:rFonts w:ascii="Calibri" w:eastAsia="Calibri" w:hAnsi="Calibri" w:cs="Calibri"/>
                <w:b/>
                <w:lang w:val="es-CR"/>
              </w:rPr>
              <w:t>medidas de protección</w:t>
            </w:r>
            <w:r w:rsidRPr="00DF4A2D">
              <w:rPr>
                <w:rFonts w:ascii="Calibri" w:eastAsia="Calibri" w:hAnsi="Calibri" w:cs="Calibri"/>
                <w:lang w:val="es-CR"/>
              </w:rPr>
              <w:t xml:space="preserve"> para niñas, niños y adolescentes víctimas en cualquier etapa del proceso judicial contra el presunto delincuente.</w:t>
            </w:r>
          </w:p>
        </w:tc>
        <w:tc>
          <w:tcPr>
            <w:tcW w:w="915" w:type="dxa"/>
            <w:shd w:val="clear" w:color="auto" w:fill="auto"/>
            <w:tcMar>
              <w:top w:w="100" w:type="dxa"/>
              <w:left w:w="100" w:type="dxa"/>
              <w:bottom w:w="100" w:type="dxa"/>
              <w:right w:w="100" w:type="dxa"/>
            </w:tcMar>
          </w:tcPr>
          <w:p w14:paraId="58B1B051" w14:textId="77777777" w:rsidR="006B3617" w:rsidRPr="00DF4A2D" w:rsidRDefault="006B3617" w:rsidP="006B3617">
            <w:pPr>
              <w:widowControl w:val="0"/>
              <w:spacing w:line="240" w:lineRule="auto"/>
              <w:rPr>
                <w:rFonts w:ascii="Calibri" w:eastAsia="Calibri" w:hAnsi="Calibri" w:cs="Calibri"/>
                <w:lang w:val="es-CR"/>
              </w:rPr>
            </w:pPr>
            <w:r w:rsidRPr="00DF4A2D">
              <w:rPr>
                <w:rFonts w:ascii="Calibri" w:eastAsia="Calibri" w:hAnsi="Calibri" w:cs="Calibri"/>
                <w:lang w:val="es-CR"/>
              </w:rPr>
              <w:t>Sí</w:t>
            </w:r>
          </w:p>
        </w:tc>
        <w:tc>
          <w:tcPr>
            <w:tcW w:w="5100" w:type="dxa"/>
            <w:shd w:val="clear" w:color="auto" w:fill="auto"/>
            <w:tcMar>
              <w:top w:w="100" w:type="dxa"/>
              <w:left w:w="100" w:type="dxa"/>
              <w:bottom w:w="100" w:type="dxa"/>
              <w:right w:w="100" w:type="dxa"/>
            </w:tcMar>
          </w:tcPr>
          <w:p w14:paraId="13D64446" w14:textId="5A3F0DF1" w:rsidR="0055695A" w:rsidRPr="00DF4A2D" w:rsidRDefault="0055695A" w:rsidP="0055695A">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El Código Procesal Penal en su artículo 202 prevé la posibilidad de que los testimonios de personas que se encuentren en circunstancias especiales de vulnerabilidad, tales como NNA víctimas de explotación sexual, se reciban en privado y con la asistencia de familiares o personas especializadas. Asimismo,  el artículo 327 prevé una serie de medidas adicionales para la declaración de menores si el interrogatorio puede perjudicar su serenidad, como la celebración de la audiencia a puerta cerrada o la declaración fuera de la sala a través de medios técnicos. Existen también dos protocolos de actuación, uno para forenses, testigos y víctimas en condición de vulnerabilidad, incluyendo NNA y otro de </w:t>
            </w:r>
            <w:r w:rsidRPr="00DF4A2D">
              <w:rPr>
                <w:rFonts w:ascii="Calibri" w:eastAsia="Calibri" w:hAnsi="Calibri" w:cs="Calibri"/>
                <w:lang w:val="es-CR"/>
              </w:rPr>
              <w:lastRenderedPageBreak/>
              <w:t>acceso a la justicia de grupos en condición de vulnerabilidad que establecen consideraciones adicionales como la exigencia de que las entrevistas realizadas a NNA se hagan por personal especializado, el establecimiento de cámaras Gesell, la exigencia de brindar asistencia legal y acompañamiento procesal entre otras.</w:t>
            </w:r>
          </w:p>
          <w:p w14:paraId="0F1ADA50" w14:textId="52EDBD12"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DF4A2D" w14:paraId="38EC7804" w14:textId="77777777" w:rsidTr="00C92BE3">
        <w:trPr>
          <w:trHeight w:val="6382"/>
        </w:trPr>
        <w:tc>
          <w:tcPr>
            <w:tcW w:w="525" w:type="dxa"/>
            <w:shd w:val="clear" w:color="auto" w:fill="auto"/>
            <w:tcMar>
              <w:top w:w="100" w:type="dxa"/>
              <w:left w:w="100" w:type="dxa"/>
              <w:bottom w:w="100" w:type="dxa"/>
              <w:right w:w="100" w:type="dxa"/>
            </w:tcMar>
          </w:tcPr>
          <w:p w14:paraId="723DB9EE"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20.</w:t>
            </w:r>
          </w:p>
        </w:tc>
        <w:tc>
          <w:tcPr>
            <w:tcW w:w="3690" w:type="dxa"/>
            <w:shd w:val="clear" w:color="auto" w:fill="auto"/>
            <w:tcMar>
              <w:top w:w="100" w:type="dxa"/>
              <w:left w:w="100" w:type="dxa"/>
              <w:bottom w:w="100" w:type="dxa"/>
              <w:right w:w="100" w:type="dxa"/>
            </w:tcMar>
          </w:tcPr>
          <w:p w14:paraId="4C70809F"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Establecer </w:t>
            </w:r>
            <w:r w:rsidRPr="00DF4A2D">
              <w:rPr>
                <w:rFonts w:ascii="Calibri" w:eastAsia="Calibri" w:hAnsi="Calibri" w:cs="Calibri"/>
                <w:b/>
                <w:lang w:val="es-CR"/>
              </w:rPr>
              <w:t>prácticas de entrevistas</w:t>
            </w:r>
            <w:r w:rsidRPr="00DF4A2D">
              <w:rPr>
                <w:rFonts w:ascii="Calibri" w:eastAsia="Calibri" w:hAnsi="Calibri" w:cs="Calibri"/>
                <w:lang w:val="es-CR"/>
              </w:rPr>
              <w:t xml:space="preserve"> </w:t>
            </w:r>
            <w:r w:rsidRPr="00DF4A2D">
              <w:rPr>
                <w:rFonts w:ascii="Calibri" w:eastAsia="Calibri" w:hAnsi="Calibri" w:cs="Calibri"/>
                <w:b/>
                <w:lang w:val="es-CR"/>
              </w:rPr>
              <w:t>adaptadas a niñas, niños y adolescentes</w:t>
            </w:r>
            <w:r w:rsidRPr="00DF4A2D">
              <w:rPr>
                <w:rFonts w:ascii="Calibri" w:eastAsia="Calibri" w:hAnsi="Calibri" w:cs="Calibri"/>
                <w:lang w:val="es-CR"/>
              </w:rPr>
              <w:t xml:space="preserve"> por parte de policías </w:t>
            </w:r>
          </w:p>
          <w:p w14:paraId="4512E356" w14:textId="130321FD"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capacitados profesionalmente.</w:t>
            </w:r>
          </w:p>
        </w:tc>
        <w:tc>
          <w:tcPr>
            <w:tcW w:w="915" w:type="dxa"/>
            <w:shd w:val="clear" w:color="auto" w:fill="auto"/>
            <w:tcMar>
              <w:top w:w="100" w:type="dxa"/>
              <w:left w:w="100" w:type="dxa"/>
              <w:bottom w:w="100" w:type="dxa"/>
              <w:right w:w="100" w:type="dxa"/>
            </w:tcMar>
          </w:tcPr>
          <w:p w14:paraId="00A82819" w14:textId="745C09D7" w:rsidR="006B3617" w:rsidRPr="00DF4A2D" w:rsidRDefault="00A41392" w:rsidP="006B3617">
            <w:pPr>
              <w:widowControl w:val="0"/>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3D030C11" w14:textId="719AD896" w:rsidR="00A41392" w:rsidRPr="00DF4A2D" w:rsidRDefault="00A41392" w:rsidP="00A41392">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El Código Procesal Penal en su artículo 202 prevé la posibilidad de que los testimonios de personas que se encuentren en circunstancias especiales de vulnerabilidad, tales como NNA víctimas de explotación sexual, se reciban en privado y con la asistencia de familiares o personas especializadas. El Protocolo de Actuación para Forenses, Testigos y Víctimas en condición de Vulnerabilidad, incluyendo NNA establece la creación de Centros de Entrevistas que proveen un espacio seguro y no revictimizante para las NNA que deben ofrecer declaraciones (“</w:t>
            </w:r>
            <w:r w:rsidRPr="00DF4A2D">
              <w:rPr>
                <w:rFonts w:ascii="Calibri" w:eastAsia="Calibri" w:hAnsi="Calibri" w:cs="Calibri"/>
                <w:i/>
                <w:lang w:val="es-CR"/>
              </w:rPr>
              <w:t>Cámara Gesell</w:t>
            </w:r>
            <w:r w:rsidRPr="00DF4A2D">
              <w:rPr>
                <w:rFonts w:ascii="Calibri" w:eastAsia="Calibri" w:hAnsi="Calibri" w:cs="Calibri"/>
                <w:lang w:val="es-CR"/>
              </w:rPr>
              <w:t>”), aunque también se prevé la posibilidad de realizar las entrevistas de forma virtual. En lo que respecta a su implementación, en 2019 existían 9 Centros de Entrevistas para NNA y hasta 2018 habían ofrecido sus servicios a alrededor de 5,000 NNA, ahora bien, no todas las provincias cuentan con este servicio.</w:t>
            </w:r>
          </w:p>
          <w:p w14:paraId="6250A28F" w14:textId="77777777" w:rsidR="00A41392" w:rsidRPr="00DF4A2D" w:rsidRDefault="00A41392" w:rsidP="00A41392">
            <w:pPr>
              <w:widowControl w:val="0"/>
              <w:pBdr>
                <w:top w:val="nil"/>
                <w:left w:val="nil"/>
                <w:bottom w:val="nil"/>
                <w:right w:val="nil"/>
                <w:between w:val="nil"/>
              </w:pBdr>
              <w:spacing w:line="240" w:lineRule="auto"/>
              <w:rPr>
                <w:rFonts w:ascii="Calibri" w:eastAsia="Calibri" w:hAnsi="Calibri" w:cs="Calibri"/>
                <w:lang w:val="es-CR"/>
              </w:rPr>
            </w:pPr>
          </w:p>
          <w:p w14:paraId="1BC39309" w14:textId="7397F5FD" w:rsidR="005E64E6" w:rsidRPr="00DF4A2D" w:rsidRDefault="00A41392" w:rsidP="00A41392">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Por su parte el Protocolo de Acceso a la Justicia de grupos en condición de vulnerabilidad establecen consideraciones adicionales como la exigencia de que las entrevistas realizadas a NNA se hagan por profesionales autorizados.</w:t>
            </w:r>
          </w:p>
        </w:tc>
      </w:tr>
      <w:tr w:rsidR="006B3617" w:rsidRPr="00DF4A2D" w14:paraId="2A0DFDA3" w14:textId="77777777" w:rsidTr="00C92BE3">
        <w:trPr>
          <w:trHeight w:val="5409"/>
        </w:trPr>
        <w:tc>
          <w:tcPr>
            <w:tcW w:w="525" w:type="dxa"/>
            <w:shd w:val="clear" w:color="auto" w:fill="auto"/>
            <w:tcMar>
              <w:top w:w="100" w:type="dxa"/>
              <w:left w:w="100" w:type="dxa"/>
              <w:bottom w:w="100" w:type="dxa"/>
              <w:right w:w="100" w:type="dxa"/>
            </w:tcMar>
          </w:tcPr>
          <w:p w14:paraId="62C510AF"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21.</w:t>
            </w:r>
          </w:p>
        </w:tc>
        <w:tc>
          <w:tcPr>
            <w:tcW w:w="3690" w:type="dxa"/>
            <w:shd w:val="clear" w:color="auto" w:fill="auto"/>
            <w:tcMar>
              <w:top w:w="100" w:type="dxa"/>
              <w:left w:w="100" w:type="dxa"/>
              <w:bottom w:w="100" w:type="dxa"/>
              <w:right w:w="100" w:type="dxa"/>
            </w:tcMar>
          </w:tcPr>
          <w:p w14:paraId="5F41EFBC" w14:textId="77777777" w:rsidR="006B3617" w:rsidRPr="00DF4A2D" w:rsidRDefault="006B3617" w:rsidP="006B3617">
            <w:pPr>
              <w:spacing w:line="240" w:lineRule="auto"/>
              <w:rPr>
                <w:rFonts w:ascii="Calibri" w:eastAsia="Calibri" w:hAnsi="Calibri" w:cs="Calibri"/>
                <w:b/>
                <w:lang w:val="es-CR"/>
              </w:rPr>
            </w:pPr>
            <w:r w:rsidRPr="00DF4A2D">
              <w:rPr>
                <w:rFonts w:ascii="Calibri" w:eastAsia="Calibri" w:hAnsi="Calibri" w:cs="Calibri"/>
                <w:lang w:val="es-CR"/>
              </w:rPr>
              <w:t xml:space="preserve">Asegurar que la legislación nacional otorgue a niñas, niños y adolescentes víctimas </w:t>
            </w:r>
            <w:r w:rsidRPr="00DF4A2D">
              <w:rPr>
                <w:rFonts w:ascii="Calibri" w:eastAsia="Calibri" w:hAnsi="Calibri" w:cs="Calibri"/>
                <w:b/>
                <w:lang w:val="es-CR"/>
              </w:rPr>
              <w:t xml:space="preserve">el derecho a </w:t>
            </w:r>
          </w:p>
          <w:p w14:paraId="3D1E049B" w14:textId="7F96E053"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b/>
                <w:lang w:val="es-CR"/>
              </w:rPr>
              <w:t>recibir apoyo en su recuperación y rehabilitación</w:t>
            </w:r>
            <w:r w:rsidRPr="00DF4A2D">
              <w:rPr>
                <w:rFonts w:ascii="Calibri" w:eastAsia="Calibri" w:hAnsi="Calibri" w:cs="Calibri"/>
                <w:lang w:val="es-CR"/>
              </w:rPr>
              <w:t>, incluido el acceso a los servicios de reintegración.</w:t>
            </w:r>
          </w:p>
        </w:tc>
        <w:tc>
          <w:tcPr>
            <w:tcW w:w="915" w:type="dxa"/>
            <w:shd w:val="clear" w:color="auto" w:fill="auto"/>
            <w:tcMar>
              <w:top w:w="100" w:type="dxa"/>
              <w:left w:w="100" w:type="dxa"/>
              <w:bottom w:w="100" w:type="dxa"/>
              <w:right w:w="100" w:type="dxa"/>
            </w:tcMar>
          </w:tcPr>
          <w:p w14:paraId="43A391E3" w14:textId="20E41991" w:rsidR="006B3617" w:rsidRPr="00DF4A2D" w:rsidRDefault="007569EB" w:rsidP="006B3617">
            <w:pPr>
              <w:widowControl w:val="0"/>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75DB63BB" w14:textId="5E4D0DA8" w:rsidR="00116784" w:rsidRPr="00DF4A2D" w:rsidRDefault="00116784" w:rsidP="00116784">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El Código para la Protección de los Derechos de NNA va más allá y establece la obligación del Estado dominicano de restituir los derechos violados o amenazados a NNA por medio de la ejecución de las medidas de protección y restitución de derechos necesarias del artículo 463, incluyendo la inserción escolar, el tratamiento médico, tratamiento psicológico o la colocación en una familia sustituta, entre otras. Por otro lado, las víctimas de trata tienen garantizada la atención física, psicológica y social, así como el asesoramiento e información sobre sus derechos y el acceso a alojamiento adecuado, educación, capacitación y oportunidad de empleo de acuerdo al artículo 9 de la Ley 137-03.</w:t>
            </w:r>
          </w:p>
          <w:p w14:paraId="3273429B" w14:textId="77777777" w:rsidR="00904E6D" w:rsidRPr="00DF4A2D" w:rsidRDefault="00904E6D" w:rsidP="00116784">
            <w:pPr>
              <w:widowControl w:val="0"/>
              <w:pBdr>
                <w:top w:val="nil"/>
                <w:left w:val="nil"/>
                <w:bottom w:val="nil"/>
                <w:right w:val="nil"/>
                <w:between w:val="nil"/>
              </w:pBdr>
              <w:spacing w:line="240" w:lineRule="auto"/>
              <w:rPr>
                <w:rFonts w:ascii="Calibri" w:eastAsia="Calibri" w:hAnsi="Calibri" w:cs="Calibri"/>
                <w:lang w:val="es-CR"/>
              </w:rPr>
            </w:pPr>
          </w:p>
          <w:p w14:paraId="0B461930" w14:textId="3D9F0C7A" w:rsidR="00904E6D" w:rsidRPr="00DF4A2D" w:rsidRDefault="007569EB" w:rsidP="00904E6D">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Respecto a NNA víctimas de delitos sexuales, e</w:t>
            </w:r>
            <w:r w:rsidR="00904E6D" w:rsidRPr="00DF4A2D">
              <w:rPr>
                <w:rFonts w:ascii="Calibri" w:eastAsia="Calibri" w:hAnsi="Calibri" w:cs="Calibri"/>
                <w:lang w:val="es-CR"/>
              </w:rPr>
              <w:t>l Servicio de Atención a Víctimas en las unidades especializadas de Atención a Víctimas de Violencia de Género, Intrafamiliar y Delitos Sexuales está capacitado para recibir y tramitar denuncias de delitos sexuales contra NNA, investigarlas y solicitar las sanciones que correspondan y cuenta, además, con servicios de atención integral a víctimas. En concreto, las NNA víctimas de delitos sexuales son evaluados en el Departamento de Psicología Forense, y posteriormente son remitidos con sus familiares al Centro de Atención a Víctimas de Niños, Niñas, Adolescentes y Familia para recibir apoyo psicológico.</w:t>
            </w:r>
          </w:p>
          <w:p w14:paraId="16CF4EC8" w14:textId="03A72D49" w:rsidR="006B3617" w:rsidRPr="00DF4A2D" w:rsidRDefault="007569EB"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Sin embargo el Poder Judicial advirtió en 2019 que la mayoría de los casos de violencia sexual no se rigen por los protocolos existentes.</w:t>
            </w:r>
          </w:p>
        </w:tc>
      </w:tr>
      <w:tr w:rsidR="006B3617" w:rsidRPr="00DF4A2D" w14:paraId="5EC062E8" w14:textId="77777777" w:rsidTr="00C92BE3">
        <w:tc>
          <w:tcPr>
            <w:tcW w:w="525" w:type="dxa"/>
            <w:shd w:val="clear" w:color="auto" w:fill="auto"/>
            <w:tcMar>
              <w:top w:w="100" w:type="dxa"/>
              <w:left w:w="100" w:type="dxa"/>
              <w:bottom w:w="100" w:type="dxa"/>
              <w:right w:w="100" w:type="dxa"/>
            </w:tcMar>
          </w:tcPr>
          <w:p w14:paraId="75C82BC8"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22.</w:t>
            </w:r>
          </w:p>
        </w:tc>
        <w:tc>
          <w:tcPr>
            <w:tcW w:w="3690" w:type="dxa"/>
            <w:shd w:val="clear" w:color="auto" w:fill="auto"/>
            <w:tcMar>
              <w:top w:w="100" w:type="dxa"/>
              <w:left w:w="100" w:type="dxa"/>
              <w:bottom w:w="100" w:type="dxa"/>
              <w:right w:w="100" w:type="dxa"/>
            </w:tcMar>
          </w:tcPr>
          <w:p w14:paraId="6C189601"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Establecer </w:t>
            </w:r>
            <w:r w:rsidRPr="00DF4A2D">
              <w:rPr>
                <w:rFonts w:ascii="Calibri" w:eastAsia="Calibri" w:hAnsi="Calibri" w:cs="Calibri"/>
                <w:b/>
                <w:lang w:val="es-CR"/>
              </w:rPr>
              <w:t xml:space="preserve">un mecanismo nacional de denuncia </w:t>
            </w:r>
            <w:r w:rsidRPr="00DF4A2D">
              <w:rPr>
                <w:rFonts w:ascii="Calibri" w:eastAsia="Calibri" w:hAnsi="Calibri" w:cs="Calibri"/>
                <w:lang w:val="es-CR"/>
              </w:rPr>
              <w:t xml:space="preserve">(por ejemplo, una línea directa) que coordine el </w:t>
            </w:r>
          </w:p>
          <w:p w14:paraId="063FA47F"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acceso a los servicios y ayude a superar la renuencia a denunciar la explotación sexual de niñas, </w:t>
            </w:r>
          </w:p>
          <w:p w14:paraId="1B448222" w14:textId="529640A0"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niños y adolescentes.</w:t>
            </w:r>
          </w:p>
        </w:tc>
        <w:tc>
          <w:tcPr>
            <w:tcW w:w="915" w:type="dxa"/>
            <w:shd w:val="clear" w:color="auto" w:fill="auto"/>
            <w:tcMar>
              <w:top w:w="100" w:type="dxa"/>
              <w:left w:w="100" w:type="dxa"/>
              <w:bottom w:w="100" w:type="dxa"/>
              <w:right w:w="100" w:type="dxa"/>
            </w:tcMar>
          </w:tcPr>
          <w:p w14:paraId="2E410A2D" w14:textId="759971C7" w:rsidR="006B3617" w:rsidRPr="00DF4A2D" w:rsidRDefault="00D11CDC"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211932D9" w14:textId="23631631" w:rsidR="006B3617" w:rsidRPr="00DF4A2D" w:rsidRDefault="00B44713" w:rsidP="007569EB">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lang w:val="es-CR"/>
              </w:rPr>
              <w:t xml:space="preserve">La </w:t>
            </w:r>
            <w:r w:rsidR="007569EB" w:rsidRPr="00DF4A2D">
              <w:rPr>
                <w:rFonts w:ascii="Calibri" w:eastAsia="Calibri" w:hAnsi="Calibri" w:cs="Calibri"/>
                <w:lang w:val="es-CR"/>
              </w:rPr>
              <w:t>República Dominicana cuenta con una serie de líneas telefónicas de atención directa que el Estado pone a disposición de los ciudadanos/as para la denuncia, asesoramiento y prevención como la Línea “VIDA” (809-200-1202) de la Procuraduría General para delitos de violencia de género y delitos sexuales, disponible 24h los 365 días del año y la Línea “Llama y Vive” bajo la Procuraduría Especializada de Trata de Personas (809-200-7393).</w:t>
            </w:r>
            <w:r w:rsidR="00D11CDC" w:rsidRPr="00DF4A2D">
              <w:rPr>
                <w:rFonts w:ascii="Calibri" w:eastAsia="Calibri" w:hAnsi="Calibri" w:cs="Calibri"/>
                <w:lang w:val="es-CR"/>
              </w:rPr>
              <w:t xml:space="preserve"> Estas líneas funcionan como mecanismos nacionales de denuncia pero no proporcionan acceso coordinado a servicios para NNA víctimas de explotación sexual.</w:t>
            </w:r>
          </w:p>
        </w:tc>
      </w:tr>
      <w:tr w:rsidR="006B3617" w:rsidRPr="00DF4A2D" w14:paraId="018D1366" w14:textId="77777777" w:rsidTr="00C92BE3">
        <w:tc>
          <w:tcPr>
            <w:tcW w:w="525" w:type="dxa"/>
            <w:shd w:val="clear" w:color="auto" w:fill="auto"/>
            <w:tcMar>
              <w:top w:w="100" w:type="dxa"/>
              <w:left w:w="100" w:type="dxa"/>
              <w:bottom w:w="100" w:type="dxa"/>
              <w:right w:w="100" w:type="dxa"/>
            </w:tcMar>
          </w:tcPr>
          <w:p w14:paraId="159F4157"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23.</w:t>
            </w:r>
          </w:p>
        </w:tc>
        <w:tc>
          <w:tcPr>
            <w:tcW w:w="3690" w:type="dxa"/>
            <w:shd w:val="clear" w:color="auto" w:fill="auto"/>
            <w:tcMar>
              <w:top w:w="100" w:type="dxa"/>
              <w:left w:w="100" w:type="dxa"/>
              <w:bottom w:w="100" w:type="dxa"/>
              <w:right w:w="100" w:type="dxa"/>
            </w:tcMar>
          </w:tcPr>
          <w:p w14:paraId="76C03E02"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t xml:space="preserve">Crear leyes, reglamentos y procedimientos de </w:t>
            </w:r>
            <w:r w:rsidRPr="00DF4A2D">
              <w:rPr>
                <w:rFonts w:ascii="Calibri" w:eastAsia="Calibri" w:hAnsi="Calibri" w:cs="Calibri"/>
                <w:b/>
                <w:lang w:val="es-CR"/>
              </w:rPr>
              <w:t xml:space="preserve">retención y preservación de datos </w:t>
            </w:r>
            <w:r w:rsidRPr="00DF4A2D">
              <w:rPr>
                <w:rFonts w:ascii="Calibri" w:eastAsia="Calibri" w:hAnsi="Calibri" w:cs="Calibri"/>
                <w:lang w:val="es-CR"/>
              </w:rPr>
              <w:t xml:space="preserve">para asegurar la retención y preservación de evidencia digital y permitir la cooperación con las fuerzas del orden </w:t>
            </w:r>
          </w:p>
          <w:p w14:paraId="4817C91D"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lang w:val="es-CR"/>
              </w:rPr>
              <w:lastRenderedPageBreak/>
              <w:t xml:space="preserve">que se aplica a los ISP, empresas de telefonía móvil, empresas de comunicación y redes sociales </w:t>
            </w:r>
          </w:p>
          <w:p w14:paraId="199A5F07" w14:textId="538B3713"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digitales, empresas de almacenamiento en la nube, con sede en / operando en jurisdicción nacional.</w:t>
            </w:r>
          </w:p>
        </w:tc>
        <w:tc>
          <w:tcPr>
            <w:tcW w:w="915" w:type="dxa"/>
            <w:shd w:val="clear" w:color="auto" w:fill="auto"/>
            <w:tcMar>
              <w:top w:w="100" w:type="dxa"/>
              <w:left w:w="100" w:type="dxa"/>
              <w:bottom w:w="100" w:type="dxa"/>
              <w:right w:w="100" w:type="dxa"/>
            </w:tcMar>
          </w:tcPr>
          <w:p w14:paraId="523C60C4" w14:textId="304044EB" w:rsidR="006B3617" w:rsidRPr="00DF4A2D" w:rsidRDefault="00DF4A2D"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lang w:val="es-CR"/>
              </w:rPr>
              <w:lastRenderedPageBreak/>
              <w:t>Sí</w:t>
            </w:r>
          </w:p>
        </w:tc>
        <w:tc>
          <w:tcPr>
            <w:tcW w:w="5100" w:type="dxa"/>
            <w:shd w:val="clear" w:color="auto" w:fill="auto"/>
            <w:tcMar>
              <w:top w:w="100" w:type="dxa"/>
              <w:left w:w="100" w:type="dxa"/>
              <w:bottom w:w="100" w:type="dxa"/>
              <w:right w:w="100" w:type="dxa"/>
            </w:tcMar>
          </w:tcPr>
          <w:p w14:paraId="71591525" w14:textId="01236A69" w:rsidR="006B3617" w:rsidRPr="00DF4A2D" w:rsidRDefault="00D11CDC" w:rsidP="006B3617">
            <w:pPr>
              <w:widowControl w:val="0"/>
              <w:spacing w:line="240" w:lineRule="auto"/>
              <w:rPr>
                <w:rFonts w:ascii="Calibri" w:eastAsia="Calibri" w:hAnsi="Calibri" w:cs="Calibri"/>
                <w:lang w:val="es-CR"/>
              </w:rPr>
            </w:pPr>
            <w:r w:rsidRPr="00DF4A2D">
              <w:rPr>
                <w:rFonts w:ascii="Calibri" w:eastAsia="Calibri" w:hAnsi="Calibri" w:cs="Calibri"/>
                <w:lang w:val="es-CR"/>
              </w:rPr>
              <w:t xml:space="preserve">La </w:t>
            </w:r>
            <w:r w:rsidR="00693314" w:rsidRPr="00DF4A2D">
              <w:rPr>
                <w:rFonts w:ascii="Calibri" w:eastAsia="Calibri" w:hAnsi="Calibri" w:cs="Calibri"/>
                <w:lang w:val="es-CR"/>
              </w:rPr>
              <w:t xml:space="preserve">Ley </w:t>
            </w:r>
            <w:r w:rsidRPr="00DF4A2D">
              <w:rPr>
                <w:rFonts w:ascii="Calibri" w:eastAsia="Calibri" w:hAnsi="Calibri" w:cs="Calibri"/>
                <w:lang w:val="es-CR"/>
              </w:rPr>
              <w:t>53-07, artículo 56, exige a los proveedores de servicios el conservar los datos de tráfico, conexión, acceso o cualquier otra información que sea útil a la investigación de delitos de alta tecnología, incluyendo delitos de explotación sexual de NNA en línea, por un período de entre noventa días y dos años</w:t>
            </w:r>
          </w:p>
        </w:tc>
      </w:tr>
      <w:tr w:rsidR="006B3617" w:rsidRPr="00DF4A2D" w14:paraId="7957AD4E" w14:textId="77777777" w:rsidTr="00C92BE3">
        <w:tc>
          <w:tcPr>
            <w:tcW w:w="525" w:type="dxa"/>
            <w:shd w:val="clear" w:color="auto" w:fill="auto"/>
            <w:tcMar>
              <w:top w:w="100" w:type="dxa"/>
              <w:left w:w="100" w:type="dxa"/>
              <w:bottom w:w="100" w:type="dxa"/>
              <w:right w:w="100" w:type="dxa"/>
            </w:tcMar>
          </w:tcPr>
          <w:p w14:paraId="1C2DD359"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lastRenderedPageBreak/>
              <w:t>24.</w:t>
            </w:r>
          </w:p>
          <w:p w14:paraId="2511C604" w14:textId="77777777"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c>
          <w:tcPr>
            <w:tcW w:w="3690" w:type="dxa"/>
            <w:shd w:val="clear" w:color="auto" w:fill="auto"/>
            <w:tcMar>
              <w:top w:w="100" w:type="dxa"/>
              <w:left w:w="100" w:type="dxa"/>
              <w:bottom w:w="100" w:type="dxa"/>
              <w:right w:w="100" w:type="dxa"/>
            </w:tcMar>
          </w:tcPr>
          <w:p w14:paraId="2D8B3FB0" w14:textId="77777777" w:rsidR="006B3617" w:rsidRPr="00DF4A2D" w:rsidRDefault="006B3617" w:rsidP="006B3617">
            <w:pPr>
              <w:spacing w:line="240" w:lineRule="auto"/>
              <w:rPr>
                <w:rFonts w:ascii="Calibri" w:eastAsia="Calibri" w:hAnsi="Calibri" w:cs="Calibri"/>
                <w:b/>
                <w:lang w:val="es-CR"/>
              </w:rPr>
            </w:pPr>
            <w:r w:rsidRPr="00DF4A2D">
              <w:rPr>
                <w:rFonts w:ascii="Calibri" w:eastAsia="Calibri" w:hAnsi="Calibri" w:cs="Calibri"/>
                <w:lang w:val="es-CR"/>
              </w:rPr>
              <w:t xml:space="preserve">Garantizar que la legislación nacional establezca </w:t>
            </w:r>
            <w:r w:rsidRPr="00DF4A2D">
              <w:rPr>
                <w:rFonts w:ascii="Calibri" w:eastAsia="Calibri" w:hAnsi="Calibri" w:cs="Calibri"/>
                <w:b/>
                <w:lang w:val="es-CR"/>
              </w:rPr>
              <w:t xml:space="preserve">el derecho para todos niñas, niños y adolescentes </w:t>
            </w:r>
          </w:p>
          <w:p w14:paraId="52170FAA" w14:textId="77777777" w:rsidR="006B3617" w:rsidRPr="00DF4A2D" w:rsidRDefault="006B3617" w:rsidP="006B3617">
            <w:pPr>
              <w:spacing w:line="240" w:lineRule="auto"/>
              <w:rPr>
                <w:rFonts w:ascii="Calibri" w:eastAsia="Calibri" w:hAnsi="Calibri" w:cs="Calibri"/>
                <w:lang w:val="es-CR"/>
              </w:rPr>
            </w:pPr>
            <w:r w:rsidRPr="00DF4A2D">
              <w:rPr>
                <w:rFonts w:ascii="Calibri" w:eastAsia="Calibri" w:hAnsi="Calibri" w:cs="Calibri"/>
                <w:b/>
                <w:lang w:val="es-CR"/>
              </w:rPr>
              <w:t>víctimas de explotación sexual a solicitar una indemnización</w:t>
            </w:r>
            <w:r w:rsidRPr="00DF4A2D">
              <w:rPr>
                <w:rFonts w:ascii="Calibri" w:eastAsia="Calibri" w:hAnsi="Calibri" w:cs="Calibri"/>
                <w:lang w:val="es-CR"/>
              </w:rPr>
              <w:t xml:space="preserve"> en los tribunales nacionales de los </w:t>
            </w:r>
          </w:p>
          <w:p w14:paraId="35E64DC6" w14:textId="59C0C698" w:rsidR="006B3617" w:rsidRPr="00DF4A2D"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culpables condenados que les hayan hecho daño y / o mediante fondos administrados por el Estado.</w:t>
            </w:r>
          </w:p>
        </w:tc>
        <w:tc>
          <w:tcPr>
            <w:tcW w:w="915" w:type="dxa"/>
            <w:shd w:val="clear" w:color="auto" w:fill="auto"/>
            <w:tcMar>
              <w:top w:w="100" w:type="dxa"/>
              <w:left w:w="100" w:type="dxa"/>
              <w:bottom w:w="100" w:type="dxa"/>
              <w:right w:w="100" w:type="dxa"/>
            </w:tcMar>
          </w:tcPr>
          <w:p w14:paraId="5F427D9B" w14:textId="5C787F8A" w:rsidR="006B3617" w:rsidRPr="00DF4A2D" w:rsidRDefault="00693314" w:rsidP="006B3617">
            <w:pPr>
              <w:widowControl w:val="0"/>
              <w:spacing w:line="240" w:lineRule="auto"/>
              <w:rPr>
                <w:rFonts w:ascii="Calibri" w:eastAsia="Calibri" w:hAnsi="Calibri" w:cs="Calibri"/>
                <w:lang w:val="es-CR"/>
              </w:rPr>
            </w:pPr>
            <w:r w:rsidRPr="00DF4A2D">
              <w:rPr>
                <w:rFonts w:ascii="Calibri" w:eastAsia="Calibri" w:hAnsi="Calibri" w:cs="Calibri"/>
                <w:lang w:val="es-CR"/>
              </w:rPr>
              <w:t>Parcialmente</w:t>
            </w:r>
          </w:p>
        </w:tc>
        <w:tc>
          <w:tcPr>
            <w:tcW w:w="5100" w:type="dxa"/>
            <w:shd w:val="clear" w:color="auto" w:fill="auto"/>
            <w:tcMar>
              <w:top w:w="100" w:type="dxa"/>
              <w:left w:w="100" w:type="dxa"/>
              <w:bottom w:w="100" w:type="dxa"/>
              <w:right w:w="100" w:type="dxa"/>
            </w:tcMar>
          </w:tcPr>
          <w:p w14:paraId="71F85304" w14:textId="079BC872" w:rsidR="006B3617" w:rsidRPr="00DF4A2D" w:rsidRDefault="00D11CDC" w:rsidP="00D11CDC">
            <w:pPr>
              <w:widowControl w:val="0"/>
              <w:pBdr>
                <w:top w:val="nil"/>
                <w:left w:val="nil"/>
                <w:bottom w:val="nil"/>
                <w:right w:val="nil"/>
                <w:between w:val="nil"/>
              </w:pBdr>
              <w:spacing w:line="240" w:lineRule="auto"/>
              <w:rPr>
                <w:rFonts w:ascii="Calibri" w:eastAsia="Calibri" w:hAnsi="Calibri" w:cs="Calibri"/>
                <w:vertAlign w:val="superscript"/>
                <w:lang w:val="es-CR"/>
              </w:rPr>
            </w:pPr>
            <w:r w:rsidRPr="00DF4A2D">
              <w:rPr>
                <w:rFonts w:ascii="Calibri" w:eastAsia="Calibri" w:hAnsi="Calibri" w:cs="Calibri"/>
                <w:lang w:val="es-CR"/>
              </w:rPr>
              <w:t>El artículo 50 del Código Procesal Penal vigente prevé el ejercicio de la acción civil para el resarcimiento de daños y perjuicios causados por el delito pudiendo ejercerse conjuntamente con la acción penal o por separado. En la práctica las víctimas no son resarcidas económicamente porque no se personan en los procedimientos provistas de abogados/as, sino tan sólo acompañadas por el Ministerio Público que no puede ejercer la acción civil.</w:t>
            </w:r>
          </w:p>
          <w:p w14:paraId="7E657BE7" w14:textId="77777777" w:rsidR="00D11CDC" w:rsidRPr="00DF4A2D" w:rsidRDefault="00D11CDC" w:rsidP="00D11CDC">
            <w:pPr>
              <w:widowControl w:val="0"/>
              <w:pBdr>
                <w:top w:val="nil"/>
                <w:left w:val="nil"/>
                <w:bottom w:val="nil"/>
                <w:right w:val="nil"/>
                <w:between w:val="nil"/>
              </w:pBdr>
              <w:spacing w:line="240" w:lineRule="auto"/>
              <w:rPr>
                <w:rFonts w:ascii="Calibri" w:eastAsia="Calibri" w:hAnsi="Calibri" w:cs="Calibri"/>
                <w:lang w:val="es-CR"/>
              </w:rPr>
            </w:pPr>
          </w:p>
          <w:p w14:paraId="5E95AA1A" w14:textId="77FC6282" w:rsidR="00D11CDC" w:rsidRPr="00DF4A2D" w:rsidRDefault="00D11CDC" w:rsidP="00D11CDC">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 xml:space="preserve">En lo que respecta a los delitos cometidos en el ámbito </w:t>
            </w:r>
            <w:r w:rsidR="002969D6" w:rsidRPr="00DF4A2D">
              <w:rPr>
                <w:rFonts w:ascii="Calibri" w:eastAsia="Calibri" w:hAnsi="Calibri" w:cs="Calibri"/>
                <w:lang w:val="es-CR"/>
              </w:rPr>
              <w:t>de</w:t>
            </w:r>
            <w:r w:rsidRPr="00DF4A2D">
              <w:rPr>
                <w:rFonts w:ascii="Calibri" w:eastAsia="Calibri" w:hAnsi="Calibri" w:cs="Calibri"/>
                <w:lang w:val="es-CR"/>
              </w:rPr>
              <w:t xml:space="preserve"> los viajes y el turismo, el artículo 73 del Código Penal prevé la extensión de la responsabilidad civil de indemnizar y restituir a las víctimas de delitos a los hosteleros y mesoneros que hospeden por más de 24 horas a quien durante su permanencia cometa un crimen o delito</w:t>
            </w:r>
            <w:r w:rsidR="00693314" w:rsidRPr="00DF4A2D">
              <w:rPr>
                <w:rFonts w:ascii="Calibri" w:eastAsia="Calibri" w:hAnsi="Calibri" w:cs="Calibri"/>
                <w:lang w:val="es-CR"/>
              </w:rPr>
              <w:t xml:space="preserve"> y no haya registrado los datos (nombre, profesión y domicilio) del delincuente</w:t>
            </w:r>
            <w:r w:rsidRPr="00DF4A2D">
              <w:rPr>
                <w:rFonts w:ascii="Calibri" w:eastAsia="Calibri" w:hAnsi="Calibri" w:cs="Calibri"/>
                <w:lang w:val="es-CR"/>
              </w:rPr>
              <w:t>.</w:t>
            </w:r>
          </w:p>
          <w:p w14:paraId="350F9372" w14:textId="77777777" w:rsidR="00693314" w:rsidRPr="00DF4A2D" w:rsidRDefault="00693314" w:rsidP="00D11CDC">
            <w:pPr>
              <w:widowControl w:val="0"/>
              <w:pBdr>
                <w:top w:val="nil"/>
                <w:left w:val="nil"/>
                <w:bottom w:val="nil"/>
                <w:right w:val="nil"/>
                <w:between w:val="nil"/>
              </w:pBdr>
              <w:spacing w:line="240" w:lineRule="auto"/>
              <w:rPr>
                <w:rFonts w:ascii="Calibri" w:eastAsia="Calibri" w:hAnsi="Calibri" w:cs="Calibri"/>
                <w:lang w:val="es-CR"/>
              </w:rPr>
            </w:pPr>
          </w:p>
          <w:p w14:paraId="157D96BF" w14:textId="4B3BC30E" w:rsidR="00D11CDC" w:rsidRPr="00DF4A2D" w:rsidRDefault="00693314" w:rsidP="00D11CDC">
            <w:pPr>
              <w:widowControl w:val="0"/>
              <w:pBdr>
                <w:top w:val="nil"/>
                <w:left w:val="nil"/>
                <w:bottom w:val="nil"/>
                <w:right w:val="nil"/>
                <w:between w:val="nil"/>
              </w:pBdr>
              <w:spacing w:line="240" w:lineRule="auto"/>
              <w:rPr>
                <w:rFonts w:ascii="Calibri" w:eastAsia="Calibri" w:hAnsi="Calibri" w:cs="Calibri"/>
                <w:lang w:val="es-CR"/>
              </w:rPr>
            </w:pPr>
            <w:r w:rsidRPr="00DF4A2D">
              <w:rPr>
                <w:rFonts w:ascii="Calibri" w:eastAsia="Calibri" w:hAnsi="Calibri" w:cs="Calibri"/>
                <w:lang w:val="es-CR"/>
              </w:rPr>
              <w:t>No existe un fondo estatal para compensar a las víctimas cuando estas no reciben la indemnización por parte del autor/a del delito, salvo en el caso de delitos de trata, para los que el artículo 11 de la Ley No. 137-03  creó un fondo que destina el producto obtenido de las multas a la indemnización de las víctimas, así como a financiar programas de lucha contra la trata.</w:t>
            </w:r>
            <w:r w:rsidR="00D11CDC" w:rsidRPr="00DF4A2D">
              <w:rPr>
                <w:rFonts w:ascii="Calibri" w:eastAsia="Calibri" w:hAnsi="Calibri" w:cs="Calibri"/>
                <w:lang w:val="es-CR"/>
              </w:rPr>
              <w:t xml:space="preserve"> </w:t>
            </w:r>
          </w:p>
          <w:p w14:paraId="14D98F35" w14:textId="57A50D33" w:rsidR="00D11CDC" w:rsidRPr="00DF4A2D" w:rsidRDefault="00D11CDC" w:rsidP="00D11CDC">
            <w:pPr>
              <w:widowControl w:val="0"/>
              <w:pBdr>
                <w:top w:val="nil"/>
                <w:left w:val="nil"/>
                <w:bottom w:val="nil"/>
                <w:right w:val="nil"/>
                <w:between w:val="nil"/>
              </w:pBdr>
              <w:spacing w:line="240" w:lineRule="auto"/>
              <w:rPr>
                <w:rFonts w:ascii="Calibri" w:eastAsia="Calibri" w:hAnsi="Calibri" w:cs="Calibri"/>
                <w:lang w:val="es-CR"/>
              </w:rPr>
            </w:pPr>
          </w:p>
        </w:tc>
      </w:tr>
    </w:tbl>
    <w:p w14:paraId="315BDE5C" w14:textId="307D7310" w:rsidR="007B6F44" w:rsidRPr="00DF4A2D" w:rsidRDefault="007B6F44">
      <w:pPr>
        <w:jc w:val="center"/>
        <w:rPr>
          <w:rFonts w:ascii="Calibri" w:eastAsia="Calibri" w:hAnsi="Calibri" w:cs="Calibri"/>
          <w:b/>
          <w:lang w:val="es-CR"/>
        </w:rPr>
      </w:pPr>
    </w:p>
    <w:p w14:paraId="2C6E4464" w14:textId="0E7F364B" w:rsidR="007B6F44" w:rsidRPr="00DF4A2D" w:rsidRDefault="00693314">
      <w:pPr>
        <w:jc w:val="center"/>
        <w:rPr>
          <w:rFonts w:ascii="Calibri" w:eastAsia="Calibri" w:hAnsi="Calibri" w:cs="Calibri"/>
          <w:b/>
          <w:lang w:val="es-CR"/>
        </w:rPr>
      </w:pPr>
      <w:r w:rsidRPr="00DF4A2D">
        <w:rPr>
          <w:rFonts w:ascii="Calibri" w:eastAsia="Calibri" w:hAnsi="Calibri" w:cs="Calibri"/>
          <w:b/>
          <w:lang w:val="es-CR"/>
        </w:rPr>
        <w:t>República Dominicana</w:t>
      </w:r>
      <w:r w:rsidR="00E727AB" w:rsidRPr="00DF4A2D">
        <w:rPr>
          <w:rFonts w:ascii="Calibri" w:eastAsia="Calibri" w:hAnsi="Calibri" w:cs="Calibri"/>
          <w:b/>
          <w:lang w:val="es-CR"/>
        </w:rPr>
        <w:t xml:space="preserve"> - Legislación </w:t>
      </w:r>
    </w:p>
    <w:p w14:paraId="1D42896C" w14:textId="77777777" w:rsidR="007B6F44" w:rsidRPr="00DF4A2D" w:rsidRDefault="007B6F44">
      <w:pPr>
        <w:rPr>
          <w:rFonts w:asciiTheme="majorHAnsi" w:eastAsia="Calibri" w:hAnsiTheme="majorHAnsi" w:cstheme="majorHAnsi"/>
          <w:lang w:val="es-CR"/>
        </w:rPr>
      </w:pPr>
    </w:p>
    <w:p w14:paraId="1EA1488B" w14:textId="5458845B" w:rsidR="007B6F44" w:rsidRPr="00DF4A2D" w:rsidRDefault="00D96EC4">
      <w:pPr>
        <w:widowControl w:val="0"/>
        <w:spacing w:line="240" w:lineRule="auto"/>
        <w:rPr>
          <w:rFonts w:asciiTheme="majorHAnsi" w:hAnsiTheme="majorHAnsi" w:cstheme="majorHAnsi"/>
          <w:lang w:val="es-CR"/>
        </w:rPr>
      </w:pPr>
      <w:hyperlink r:id="rId15" w:history="1">
        <w:r w:rsidR="00693314" w:rsidRPr="00DF4A2D">
          <w:rPr>
            <w:rStyle w:val="Hyperlink"/>
            <w:rFonts w:asciiTheme="majorHAnsi" w:hAnsiTheme="majorHAnsi" w:cstheme="majorHAnsi"/>
            <w:lang w:val="es-CR"/>
          </w:rPr>
          <w:t>Código Penal</w:t>
        </w:r>
      </w:hyperlink>
    </w:p>
    <w:p w14:paraId="2E69F870" w14:textId="5186ED0E" w:rsidR="00693314" w:rsidRPr="00DF4A2D" w:rsidRDefault="00693314">
      <w:pPr>
        <w:widowControl w:val="0"/>
        <w:spacing w:line="240" w:lineRule="auto"/>
        <w:rPr>
          <w:rFonts w:asciiTheme="majorHAnsi" w:hAnsiTheme="majorHAnsi" w:cstheme="majorHAnsi"/>
          <w:lang w:val="es-CR"/>
        </w:rPr>
      </w:pPr>
    </w:p>
    <w:p w14:paraId="40410734" w14:textId="1313543E" w:rsidR="00693314" w:rsidRPr="00DF4A2D" w:rsidRDefault="00D96EC4">
      <w:pPr>
        <w:widowControl w:val="0"/>
        <w:spacing w:line="240" w:lineRule="auto"/>
        <w:rPr>
          <w:rFonts w:asciiTheme="majorHAnsi" w:hAnsiTheme="majorHAnsi" w:cstheme="majorHAnsi"/>
          <w:lang w:val="es-CR"/>
        </w:rPr>
      </w:pPr>
      <w:hyperlink r:id="rId16" w:history="1">
        <w:r w:rsidR="00693314" w:rsidRPr="00DF4A2D">
          <w:rPr>
            <w:rStyle w:val="Hyperlink"/>
            <w:rFonts w:asciiTheme="majorHAnsi" w:hAnsiTheme="majorHAnsi" w:cstheme="majorHAnsi"/>
            <w:lang w:val="es-CR"/>
          </w:rPr>
          <w:t>Código Procesal Penal</w:t>
        </w:r>
      </w:hyperlink>
    </w:p>
    <w:p w14:paraId="128BAF37" w14:textId="77777777" w:rsidR="00693314" w:rsidRPr="00DF4A2D" w:rsidRDefault="00693314">
      <w:pPr>
        <w:widowControl w:val="0"/>
        <w:spacing w:line="240" w:lineRule="auto"/>
        <w:rPr>
          <w:rFonts w:asciiTheme="majorHAnsi" w:hAnsiTheme="majorHAnsi" w:cstheme="majorHAnsi"/>
          <w:lang w:val="es-CR"/>
        </w:rPr>
      </w:pPr>
    </w:p>
    <w:p w14:paraId="13CD8D73" w14:textId="43B12F46" w:rsidR="00693314" w:rsidRPr="00DF4A2D" w:rsidRDefault="00D96EC4">
      <w:pPr>
        <w:widowControl w:val="0"/>
        <w:spacing w:line="240" w:lineRule="auto"/>
        <w:rPr>
          <w:rFonts w:asciiTheme="majorHAnsi" w:eastAsia="Calibri" w:hAnsiTheme="majorHAnsi" w:cstheme="majorHAnsi"/>
          <w:lang w:val="es-CR"/>
        </w:rPr>
      </w:pPr>
      <w:hyperlink r:id="rId17" w:history="1">
        <w:r w:rsidR="00693314" w:rsidRPr="00DF4A2D">
          <w:rPr>
            <w:rStyle w:val="Hyperlink"/>
            <w:rFonts w:asciiTheme="majorHAnsi" w:eastAsia="Calibri" w:hAnsiTheme="majorHAnsi" w:cstheme="majorHAnsi"/>
            <w:lang w:val="es-CR"/>
          </w:rPr>
          <w:t>Ley 489 sobre Extradición</w:t>
        </w:r>
      </w:hyperlink>
      <w:bookmarkStart w:id="0" w:name="_GoBack"/>
      <w:bookmarkEnd w:id="0"/>
    </w:p>
    <w:p w14:paraId="0199A98C" w14:textId="77777777" w:rsidR="00693314" w:rsidRPr="00DF4A2D" w:rsidRDefault="00693314">
      <w:pPr>
        <w:widowControl w:val="0"/>
        <w:spacing w:line="240" w:lineRule="auto"/>
        <w:rPr>
          <w:rFonts w:asciiTheme="majorHAnsi" w:eastAsia="Calibri" w:hAnsiTheme="majorHAnsi" w:cstheme="majorHAnsi"/>
          <w:lang w:val="es-CR"/>
        </w:rPr>
      </w:pPr>
    </w:p>
    <w:p w14:paraId="7F0A155B" w14:textId="77BBF04E" w:rsidR="00693314" w:rsidRPr="00DF4A2D" w:rsidRDefault="00D96EC4">
      <w:pPr>
        <w:widowControl w:val="0"/>
        <w:spacing w:line="240" w:lineRule="auto"/>
        <w:rPr>
          <w:rFonts w:asciiTheme="majorHAnsi" w:eastAsia="Calibri" w:hAnsiTheme="majorHAnsi" w:cstheme="majorHAnsi"/>
          <w:lang w:val="es-CR"/>
        </w:rPr>
      </w:pPr>
      <w:hyperlink r:id="rId18" w:history="1">
        <w:r w:rsidR="00693314" w:rsidRPr="00DF4A2D">
          <w:rPr>
            <w:rStyle w:val="Hyperlink"/>
            <w:rFonts w:asciiTheme="majorHAnsi" w:eastAsia="Calibri" w:hAnsiTheme="majorHAnsi" w:cstheme="majorHAnsi"/>
            <w:lang w:val="es-CR"/>
          </w:rPr>
          <w:t>Ley 285-04 de Migración</w:t>
        </w:r>
      </w:hyperlink>
    </w:p>
    <w:p w14:paraId="2621B225" w14:textId="77777777" w:rsidR="00693314" w:rsidRPr="00DF4A2D" w:rsidRDefault="00693314">
      <w:pPr>
        <w:widowControl w:val="0"/>
        <w:spacing w:line="240" w:lineRule="auto"/>
        <w:rPr>
          <w:rFonts w:asciiTheme="majorHAnsi" w:eastAsia="Calibri" w:hAnsiTheme="majorHAnsi" w:cstheme="majorHAnsi"/>
          <w:lang w:val="es-CR"/>
        </w:rPr>
      </w:pPr>
    </w:p>
    <w:p w14:paraId="75BC011E" w14:textId="7278D431" w:rsidR="00693314" w:rsidRPr="00DF4A2D" w:rsidRDefault="00D96EC4">
      <w:pPr>
        <w:widowControl w:val="0"/>
        <w:spacing w:line="240" w:lineRule="auto"/>
        <w:rPr>
          <w:rFonts w:asciiTheme="majorHAnsi" w:eastAsia="Calibri" w:hAnsiTheme="majorHAnsi" w:cstheme="majorHAnsi"/>
          <w:lang w:val="es-CR"/>
        </w:rPr>
      </w:pPr>
      <w:hyperlink r:id="rId19" w:history="1">
        <w:r w:rsidR="00693314" w:rsidRPr="00DF4A2D">
          <w:rPr>
            <w:rStyle w:val="Hyperlink"/>
            <w:rFonts w:asciiTheme="majorHAnsi" w:eastAsia="Calibri" w:hAnsiTheme="majorHAnsi" w:cstheme="majorHAnsi"/>
            <w:lang w:val="es-CR"/>
          </w:rPr>
          <w:t>Ley 136-03 que crea el Código para el Sistema de Protección y los Derechos Fundamentales de NNA</w:t>
        </w:r>
      </w:hyperlink>
    </w:p>
    <w:p w14:paraId="45C7EDFD" w14:textId="77777777" w:rsidR="00693314" w:rsidRPr="00DF4A2D" w:rsidRDefault="00693314">
      <w:pPr>
        <w:widowControl w:val="0"/>
        <w:spacing w:line="240" w:lineRule="auto"/>
        <w:rPr>
          <w:rFonts w:asciiTheme="majorHAnsi" w:eastAsia="Calibri" w:hAnsiTheme="majorHAnsi" w:cstheme="majorHAnsi"/>
          <w:lang w:val="es-CR"/>
        </w:rPr>
      </w:pPr>
    </w:p>
    <w:p w14:paraId="2201DBA1" w14:textId="105BC951" w:rsidR="00693314" w:rsidRPr="00DF4A2D" w:rsidRDefault="00D96EC4">
      <w:pPr>
        <w:widowControl w:val="0"/>
        <w:spacing w:line="240" w:lineRule="auto"/>
        <w:rPr>
          <w:rFonts w:asciiTheme="majorHAnsi" w:eastAsia="Calibri" w:hAnsiTheme="majorHAnsi" w:cstheme="majorHAnsi"/>
          <w:lang w:val="es-CR"/>
        </w:rPr>
      </w:pPr>
      <w:hyperlink r:id="rId20" w:history="1">
        <w:r w:rsidR="00693314" w:rsidRPr="00DF4A2D">
          <w:rPr>
            <w:rStyle w:val="Hyperlink"/>
            <w:rFonts w:asciiTheme="majorHAnsi" w:eastAsia="Calibri" w:hAnsiTheme="majorHAnsi" w:cstheme="majorHAnsi"/>
            <w:lang w:val="es-CR"/>
          </w:rPr>
          <w:t>Ley 137-03 sobre Tráfico Ilícito de Migrantes y Trata de Personas</w:t>
        </w:r>
      </w:hyperlink>
    </w:p>
    <w:p w14:paraId="46B5E33C" w14:textId="77777777" w:rsidR="00693314" w:rsidRPr="00DF4A2D" w:rsidRDefault="00693314">
      <w:pPr>
        <w:widowControl w:val="0"/>
        <w:spacing w:line="240" w:lineRule="auto"/>
        <w:rPr>
          <w:rFonts w:asciiTheme="majorHAnsi" w:eastAsia="Calibri" w:hAnsiTheme="majorHAnsi" w:cstheme="majorHAnsi"/>
          <w:lang w:val="es-CR"/>
        </w:rPr>
      </w:pPr>
    </w:p>
    <w:p w14:paraId="4ADB4B44" w14:textId="6F53A630" w:rsidR="00693314" w:rsidRPr="00DF4A2D" w:rsidRDefault="00D96EC4">
      <w:pPr>
        <w:widowControl w:val="0"/>
        <w:spacing w:line="240" w:lineRule="auto"/>
        <w:rPr>
          <w:rFonts w:asciiTheme="majorHAnsi" w:eastAsia="Calibri" w:hAnsiTheme="majorHAnsi" w:cstheme="majorHAnsi"/>
          <w:lang w:val="es-CR"/>
        </w:rPr>
      </w:pPr>
      <w:hyperlink r:id="rId21" w:history="1">
        <w:r w:rsidR="00693314" w:rsidRPr="00DF4A2D">
          <w:rPr>
            <w:rStyle w:val="Hyperlink"/>
            <w:rFonts w:asciiTheme="majorHAnsi" w:eastAsia="Calibri" w:hAnsiTheme="majorHAnsi" w:cstheme="majorHAnsi"/>
            <w:lang w:val="es-CR"/>
          </w:rPr>
          <w:t>Ley 53-07 sobre Crímenes y Delitos de Alta Tecnología.</w:t>
        </w:r>
      </w:hyperlink>
    </w:p>
    <w:sectPr w:rsidR="00693314" w:rsidRPr="00DF4A2D">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CFD5" w16cex:dateUtc="2022-05-08T08:48:00Z"/>
  <w16cex:commentExtensible w16cex:durableId="2624D1FC" w16cex:dateUtc="2022-05-10T09:58:00Z"/>
  <w16cex:commentExtensible w16cex:durableId="2624D242" w16cex:dateUtc="2022-05-10T10:00:00Z"/>
  <w16cex:commentExtensible w16cex:durableId="2624D252" w16cex:dateUtc="2022-05-10T10:00:00Z"/>
  <w16cex:commentExtensible w16cex:durableId="2624D328" w16cex:dateUtc="2022-05-10T10:03:00Z"/>
  <w16cex:commentExtensible w16cex:durableId="2624D387" w16cex:dateUtc="2022-05-10T10:05:00Z"/>
  <w16cex:commentExtensible w16cex:durableId="2624CFD6" w16cex:dateUtc="2022-05-08T09:29:00Z"/>
  <w16cex:commentExtensible w16cex:durableId="2624CFD7" w16cex:dateUtc="2022-05-08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723A2C" w16cid:durableId="2624CFD5"/>
  <w16cid:commentId w16cid:paraId="567DB493" w16cid:durableId="2624D1FC"/>
  <w16cid:commentId w16cid:paraId="045F4479" w16cid:durableId="2624D242"/>
  <w16cid:commentId w16cid:paraId="669E34CE" w16cid:durableId="2624D252"/>
  <w16cid:commentId w16cid:paraId="6AAC72AD" w16cid:durableId="2624D328"/>
  <w16cid:commentId w16cid:paraId="0DECD425" w16cid:durableId="2624D387"/>
  <w16cid:commentId w16cid:paraId="27C4EC63" w16cid:durableId="2624CFD6"/>
  <w16cid:commentId w16cid:paraId="56C13A39" w16cid:durableId="2624CF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BD93" w14:textId="77777777" w:rsidR="00D96EC4" w:rsidRDefault="00D96EC4" w:rsidP="00367EDC">
      <w:pPr>
        <w:spacing w:line="240" w:lineRule="auto"/>
      </w:pPr>
      <w:r>
        <w:separator/>
      </w:r>
    </w:p>
  </w:endnote>
  <w:endnote w:type="continuationSeparator" w:id="0">
    <w:p w14:paraId="20180FA4" w14:textId="77777777" w:rsidR="00D96EC4" w:rsidRDefault="00D96EC4" w:rsidP="00367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20CD" w14:textId="77777777" w:rsidR="00D96EC4" w:rsidRDefault="00D96EC4" w:rsidP="00367EDC">
      <w:pPr>
        <w:spacing w:line="240" w:lineRule="auto"/>
      </w:pPr>
      <w:r>
        <w:separator/>
      </w:r>
    </w:p>
  </w:footnote>
  <w:footnote w:type="continuationSeparator" w:id="0">
    <w:p w14:paraId="29839D77" w14:textId="77777777" w:rsidR="00D96EC4" w:rsidRDefault="00D96EC4" w:rsidP="00367EDC">
      <w:pPr>
        <w:spacing w:line="240" w:lineRule="auto"/>
      </w:pPr>
      <w:r>
        <w:continuationSeparator/>
      </w:r>
    </w:p>
  </w:footnote>
  <w:footnote w:id="1">
    <w:p w14:paraId="1F079E5D" w14:textId="33C3C7C3" w:rsidR="00653F6A" w:rsidRDefault="00653F6A">
      <w:pPr>
        <w:pStyle w:val="FootnoteText"/>
      </w:pPr>
      <w:r>
        <w:rPr>
          <w:rStyle w:val="FootnoteReference"/>
        </w:rPr>
        <w:footnoteRef/>
      </w:r>
      <w:r>
        <w:t xml:space="preserve"> Hasta la aprobación del nuevo Código penal.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364"/>
    <w:multiLevelType w:val="multilevel"/>
    <w:tmpl w:val="B02E46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5062D0E"/>
    <w:multiLevelType w:val="hybridMultilevel"/>
    <w:tmpl w:val="377257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B5C1D49"/>
    <w:multiLevelType w:val="multilevel"/>
    <w:tmpl w:val="4BCC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933C07"/>
    <w:multiLevelType w:val="multilevel"/>
    <w:tmpl w:val="0E22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44"/>
    <w:rsid w:val="00060025"/>
    <w:rsid w:val="00116784"/>
    <w:rsid w:val="00130393"/>
    <w:rsid w:val="001E56A3"/>
    <w:rsid w:val="00214A3C"/>
    <w:rsid w:val="002969D6"/>
    <w:rsid w:val="002977C0"/>
    <w:rsid w:val="00306FAF"/>
    <w:rsid w:val="0031389E"/>
    <w:rsid w:val="003473D9"/>
    <w:rsid w:val="00367EDC"/>
    <w:rsid w:val="00451205"/>
    <w:rsid w:val="004E7276"/>
    <w:rsid w:val="0055695A"/>
    <w:rsid w:val="005B6BEE"/>
    <w:rsid w:val="005E64E6"/>
    <w:rsid w:val="006232D1"/>
    <w:rsid w:val="00641A1F"/>
    <w:rsid w:val="00653F6A"/>
    <w:rsid w:val="00654602"/>
    <w:rsid w:val="00671BEB"/>
    <w:rsid w:val="00693314"/>
    <w:rsid w:val="006B3617"/>
    <w:rsid w:val="007557BA"/>
    <w:rsid w:val="007569EB"/>
    <w:rsid w:val="007B4101"/>
    <w:rsid w:val="007B6F44"/>
    <w:rsid w:val="00853DE5"/>
    <w:rsid w:val="008951CC"/>
    <w:rsid w:val="00904E6D"/>
    <w:rsid w:val="009137A4"/>
    <w:rsid w:val="00920682"/>
    <w:rsid w:val="00934C77"/>
    <w:rsid w:val="00A330F8"/>
    <w:rsid w:val="00A41392"/>
    <w:rsid w:val="00A57FF2"/>
    <w:rsid w:val="00A74ADB"/>
    <w:rsid w:val="00B44713"/>
    <w:rsid w:val="00B7138B"/>
    <w:rsid w:val="00C33A3A"/>
    <w:rsid w:val="00C67AD6"/>
    <w:rsid w:val="00C8327E"/>
    <w:rsid w:val="00C92BE3"/>
    <w:rsid w:val="00CC4EA1"/>
    <w:rsid w:val="00D11CDC"/>
    <w:rsid w:val="00D63867"/>
    <w:rsid w:val="00D72B4C"/>
    <w:rsid w:val="00D96EC4"/>
    <w:rsid w:val="00DC5AE3"/>
    <w:rsid w:val="00DD304B"/>
    <w:rsid w:val="00DE6BD0"/>
    <w:rsid w:val="00DF4A2D"/>
    <w:rsid w:val="00E30EF8"/>
    <w:rsid w:val="00E727AB"/>
    <w:rsid w:val="00F5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2FDA"/>
  <w15:docId w15:val="{4E503C4B-55FC-4DFD-9A2C-53BA3B37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97F54"/>
    <w:rPr>
      <w:sz w:val="16"/>
      <w:szCs w:val="16"/>
    </w:rPr>
  </w:style>
  <w:style w:type="paragraph" w:styleId="CommentText">
    <w:name w:val="annotation text"/>
    <w:basedOn w:val="Normal"/>
    <w:link w:val="CommentTextChar"/>
    <w:uiPriority w:val="99"/>
    <w:unhideWhenUsed/>
    <w:rsid w:val="00697F54"/>
    <w:pPr>
      <w:spacing w:line="240" w:lineRule="auto"/>
    </w:pPr>
    <w:rPr>
      <w:sz w:val="20"/>
      <w:szCs w:val="20"/>
    </w:rPr>
  </w:style>
  <w:style w:type="character" w:customStyle="1" w:styleId="CommentTextChar">
    <w:name w:val="Comment Text Char"/>
    <w:basedOn w:val="DefaultParagraphFont"/>
    <w:link w:val="CommentText"/>
    <w:uiPriority w:val="99"/>
    <w:rsid w:val="00697F54"/>
    <w:rPr>
      <w:sz w:val="20"/>
      <w:szCs w:val="20"/>
    </w:rPr>
  </w:style>
  <w:style w:type="paragraph" w:styleId="CommentSubject">
    <w:name w:val="annotation subject"/>
    <w:basedOn w:val="CommentText"/>
    <w:next w:val="CommentText"/>
    <w:link w:val="CommentSubjectChar"/>
    <w:uiPriority w:val="99"/>
    <w:semiHidden/>
    <w:unhideWhenUsed/>
    <w:rsid w:val="00697F54"/>
    <w:rPr>
      <w:b/>
      <w:bCs/>
    </w:rPr>
  </w:style>
  <w:style w:type="character" w:customStyle="1" w:styleId="CommentSubjectChar">
    <w:name w:val="Comment Subject Char"/>
    <w:basedOn w:val="CommentTextChar"/>
    <w:link w:val="CommentSubject"/>
    <w:uiPriority w:val="99"/>
    <w:semiHidden/>
    <w:rsid w:val="00697F54"/>
    <w:rPr>
      <w:b/>
      <w:bCs/>
      <w:sz w:val="20"/>
      <w:szCs w:val="20"/>
    </w:rPr>
  </w:style>
  <w:style w:type="paragraph" w:styleId="BalloonText">
    <w:name w:val="Balloon Text"/>
    <w:basedOn w:val="Normal"/>
    <w:link w:val="BalloonTextChar"/>
    <w:uiPriority w:val="99"/>
    <w:semiHidden/>
    <w:unhideWhenUsed/>
    <w:rsid w:val="00697F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54"/>
    <w:rPr>
      <w:rFonts w:ascii="Segoe UI" w:hAnsi="Segoe UI" w:cs="Segoe UI"/>
      <w:sz w:val="18"/>
      <w:szCs w:val="18"/>
    </w:rPr>
  </w:style>
  <w:style w:type="character" w:styleId="Hyperlink">
    <w:name w:val="Hyperlink"/>
    <w:basedOn w:val="DefaultParagraphFont"/>
    <w:uiPriority w:val="99"/>
    <w:unhideWhenUsed/>
    <w:rsid w:val="00B53C2E"/>
    <w:rPr>
      <w:color w:val="0000FF" w:themeColor="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27AB"/>
    <w:pPr>
      <w:ind w:left="720"/>
      <w:contextualSpacing/>
    </w:pPr>
  </w:style>
  <w:style w:type="paragraph" w:styleId="NormalWeb">
    <w:name w:val="Normal (Web)"/>
    <w:basedOn w:val="Normal"/>
    <w:uiPriority w:val="99"/>
    <w:semiHidden/>
    <w:unhideWhenUsed/>
    <w:rsid w:val="005E64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367EDC"/>
    <w:pPr>
      <w:spacing w:line="240" w:lineRule="auto"/>
    </w:pPr>
    <w:rPr>
      <w:rFonts w:asciiTheme="minorHAnsi" w:eastAsiaTheme="minorHAnsi" w:hAnsiTheme="minorHAnsi" w:cstheme="minorBidi"/>
      <w:sz w:val="20"/>
      <w:szCs w:val="20"/>
      <w:lang w:val="es-ES"/>
    </w:rPr>
  </w:style>
  <w:style w:type="character" w:customStyle="1" w:styleId="FootnoteTextChar">
    <w:name w:val="Footnote Text Char"/>
    <w:basedOn w:val="DefaultParagraphFont"/>
    <w:link w:val="FootnoteText"/>
    <w:uiPriority w:val="99"/>
    <w:rsid w:val="00367EDC"/>
    <w:rPr>
      <w:rFonts w:asciiTheme="minorHAnsi" w:eastAsiaTheme="minorHAnsi" w:hAnsiTheme="minorHAnsi" w:cstheme="minorBidi"/>
      <w:sz w:val="20"/>
      <w:szCs w:val="20"/>
      <w:lang w:val="es-ES"/>
    </w:rPr>
  </w:style>
  <w:style w:type="character" w:styleId="FootnoteReference">
    <w:name w:val="footnote reference"/>
    <w:basedOn w:val="DefaultParagraphFont"/>
    <w:uiPriority w:val="99"/>
    <w:unhideWhenUsed/>
    <w:rsid w:val="00367EDC"/>
    <w:rPr>
      <w:vertAlign w:val="superscript"/>
    </w:rPr>
  </w:style>
  <w:style w:type="paragraph" w:styleId="Revision">
    <w:name w:val="Revision"/>
    <w:hidden/>
    <w:uiPriority w:val="99"/>
    <w:semiHidden/>
    <w:rsid w:val="00A74ADB"/>
    <w:pPr>
      <w:spacing w:line="240" w:lineRule="auto"/>
    </w:pPr>
  </w:style>
  <w:style w:type="character" w:customStyle="1" w:styleId="UnresolvedMention">
    <w:name w:val="Unresolved Mention"/>
    <w:basedOn w:val="DefaultParagraphFont"/>
    <w:uiPriority w:val="99"/>
    <w:semiHidden/>
    <w:unhideWhenUsed/>
    <w:rsid w:val="00A74ADB"/>
    <w:rPr>
      <w:color w:val="605E5C"/>
      <w:shd w:val="clear" w:color="auto" w:fill="E1DFDD"/>
    </w:rPr>
  </w:style>
  <w:style w:type="character" w:styleId="FollowedHyperlink">
    <w:name w:val="FollowedHyperlink"/>
    <w:basedOn w:val="DefaultParagraphFont"/>
    <w:uiPriority w:val="99"/>
    <w:semiHidden/>
    <w:unhideWhenUsed/>
    <w:rsid w:val="00B44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27103">
      <w:bodyDiv w:val="1"/>
      <w:marLeft w:val="0"/>
      <w:marRight w:val="0"/>
      <w:marTop w:val="0"/>
      <w:marBottom w:val="0"/>
      <w:divBdr>
        <w:top w:val="none" w:sz="0" w:space="0" w:color="auto"/>
        <w:left w:val="none" w:sz="0" w:space="0" w:color="auto"/>
        <w:bottom w:val="none" w:sz="0" w:space="0" w:color="auto"/>
        <w:right w:val="none" w:sz="0" w:space="0" w:color="auto"/>
      </w:divBdr>
    </w:div>
    <w:div w:id="1673677216">
      <w:bodyDiv w:val="1"/>
      <w:marLeft w:val="0"/>
      <w:marRight w:val="0"/>
      <w:marTop w:val="0"/>
      <w:marBottom w:val="0"/>
      <w:divBdr>
        <w:top w:val="none" w:sz="0" w:space="0" w:color="auto"/>
        <w:left w:val="none" w:sz="0" w:space="0" w:color="auto"/>
        <w:bottom w:val="none" w:sz="0" w:space="0" w:color="auto"/>
        <w:right w:val="none" w:sz="0" w:space="0" w:color="auto"/>
      </w:divBdr>
    </w:div>
    <w:div w:id="1768959906">
      <w:bodyDiv w:val="1"/>
      <w:marLeft w:val="0"/>
      <w:marRight w:val="0"/>
      <w:marTop w:val="0"/>
      <w:marBottom w:val="0"/>
      <w:divBdr>
        <w:top w:val="none" w:sz="0" w:space="0" w:color="auto"/>
        <w:left w:val="none" w:sz="0" w:space="0" w:color="auto"/>
        <w:bottom w:val="none" w:sz="0" w:space="0" w:color="auto"/>
        <w:right w:val="none" w:sz="0" w:space="0" w:color="auto"/>
      </w:divBdr>
    </w:div>
    <w:div w:id="1881746171">
      <w:bodyDiv w:val="1"/>
      <w:marLeft w:val="0"/>
      <w:marRight w:val="0"/>
      <w:marTop w:val="0"/>
      <w:marBottom w:val="0"/>
      <w:divBdr>
        <w:top w:val="none" w:sz="0" w:space="0" w:color="auto"/>
        <w:left w:val="none" w:sz="0" w:space="0" w:color="auto"/>
        <w:bottom w:val="none" w:sz="0" w:space="0" w:color="auto"/>
        <w:right w:val="none" w:sz="0" w:space="0" w:color="auto"/>
      </w:divBdr>
    </w:div>
    <w:div w:id="211651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pat.org/wp-content/uploads/2021/08/SECTT-Lista-de-verficacion_SP_Nota-explicativa.pdf" TargetMode="External"/><Relationship Id="rId18" Type="http://schemas.openxmlformats.org/officeDocument/2006/relationships/hyperlink" Target="https://dgii.gov.do/sobreTarjetaTurista/Documents/Ley285-04.pdf" TargetMode="Externa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yperlink" Target="http://www.oas.org/juridico/PDFs/repdom_ley5307.pdf" TargetMode="External"/><Relationship Id="rId7" Type="http://schemas.openxmlformats.org/officeDocument/2006/relationships/footnotes" Target="footnotes.xml"/><Relationship Id="rId12" Type="http://schemas.openxmlformats.org/officeDocument/2006/relationships/hyperlink" Target="https://ecpat.org/wp-content/uploads/2021/08/Offender-on-the-Move_SPA_2018APR30_v5.pdf" TargetMode="External"/><Relationship Id="rId17" Type="http://schemas.openxmlformats.org/officeDocument/2006/relationships/hyperlink" Target="https://www.imolin.org/doc/amlid/Dominican%20Republic_Ley%20489%20sobre%20Extradicion.pdf" TargetMode="External"/><Relationship Id="rId2" Type="http://schemas.openxmlformats.org/officeDocument/2006/relationships/customXml" Target="../customXml/item2.xml"/><Relationship Id="rId16" Type="http://schemas.openxmlformats.org/officeDocument/2006/relationships/hyperlink" Target="https://www.oas.org/juridico/pdfs/mesicic4_repdom_codpp.pdf" TargetMode="External"/><Relationship Id="rId20" Type="http://schemas.openxmlformats.org/officeDocument/2006/relationships/hyperlink" Target="https://www.oas.org/dil/esp/Ley%20N%C2%B0%20137-03%20Sobre%20Tr%C3%A1fico%20Il%C3%ADcito%20de%20Migrantes%20y%20Trata%20de%20Personas%20Republica%20Dominican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pat.org/wp-content/uploads/2021/10/SECTT-Checklist_SPA.pdf" TargetMode="External"/><Relationship Id="rId5" Type="http://schemas.openxmlformats.org/officeDocument/2006/relationships/settings" Target="settings.xml"/><Relationship Id="rId15" Type="http://schemas.openxmlformats.org/officeDocument/2006/relationships/hyperlink" Target="https://www.oas.org/dil/esp/C%C3%B3digo%20Penal%20de%20la%20Rep%C3%BAblica%20Dominicana.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ministeriodeeducacion.gob.do/docs/marco-legal/leyes/ley-que-crea-el-codigo-para-la-proteccion-de-ninos-ninas-y-adolescentes-no-136-03-go-no-10234-del-07-de-ago-del-2003.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cpat.org/wp-content/uploads/2021/09/Assesment-Matrix_2021SEP_SPA_v2.pdf"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EaJiswQWt4QNKk4VGb9KlYtdQ==">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D60AF5-A487-4B5F-A57F-30892644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3554</Words>
  <Characters>20262</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Gabriela Kuhn</cp:lastModifiedBy>
  <cp:revision>12</cp:revision>
  <dcterms:created xsi:type="dcterms:W3CDTF">2021-11-03T18:04:00Z</dcterms:created>
  <dcterms:modified xsi:type="dcterms:W3CDTF">2022-06-06T09:52:00Z</dcterms:modified>
</cp:coreProperties>
</file>