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726E" w14:textId="457C7341" w:rsidR="007B6F44" w:rsidRDefault="006B3617">
      <w:pPr>
        <w:rPr>
          <w:rFonts w:ascii="Calibri-Bold" w:hAnsi="Calibri-Bold" w:cs="Calibri-Bold"/>
          <w:b/>
          <w:bCs/>
          <w:color w:val="02436F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D00001" wp14:editId="4F97B063">
            <wp:simplePos x="0" y="0"/>
            <wp:positionH relativeFrom="margin">
              <wp:posOffset>4553585</wp:posOffset>
            </wp:positionH>
            <wp:positionV relativeFrom="paragraph">
              <wp:posOffset>43815</wp:posOffset>
            </wp:positionV>
            <wp:extent cx="1181100" cy="648970"/>
            <wp:effectExtent l="0" t="0" r="0" b="0"/>
            <wp:wrapTight wrapText="bothSides">
              <wp:wrapPolygon edited="0">
                <wp:start x="0" y="0"/>
                <wp:lineTo x="0" y="21135"/>
                <wp:lineTo x="21368" y="21135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9D">
        <w:rPr>
          <w:rFonts w:ascii="Calibri-Bold" w:hAnsi="Calibri-Bold" w:cs="Calibri-Bold"/>
          <w:b/>
          <w:bCs/>
          <w:color w:val="02436F"/>
          <w:sz w:val="32"/>
          <w:szCs w:val="32"/>
        </w:rPr>
        <w:t>Paraguay</w:t>
      </w:r>
    </w:p>
    <w:p w14:paraId="263AECB8" w14:textId="73421E2E" w:rsidR="006B3617" w:rsidRDefault="006B3617">
      <w:pPr>
        <w:rPr>
          <w:rFonts w:ascii="Calibri-Bold" w:hAnsi="Calibri-Bold" w:cs="Calibri-Bold"/>
          <w:b/>
          <w:bCs/>
          <w:color w:val="02436F"/>
          <w:sz w:val="32"/>
          <w:szCs w:val="32"/>
        </w:rPr>
      </w:pPr>
    </w:p>
    <w:p w14:paraId="7B447720" w14:textId="34416651" w:rsidR="006B3617" w:rsidRDefault="006B3617">
      <w:pPr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inline distT="0" distB="0" distL="0" distR="0" wp14:anchorId="3242261C" wp14:editId="2EBCE088">
            <wp:extent cx="2216150" cy="750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3938" cy="8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EE1E" w14:textId="6D968838" w:rsidR="006B3617" w:rsidRDefault="006B3617">
      <w:pPr>
        <w:rPr>
          <w:rFonts w:ascii="Calibri" w:eastAsia="Calibri" w:hAnsi="Calibri" w:cs="Calibri"/>
        </w:rPr>
      </w:pPr>
    </w:p>
    <w:p w14:paraId="44D0A32D" w14:textId="682BB910" w:rsidR="006B3617" w:rsidRPr="00C8327E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CR"/>
        </w:rPr>
      </w:pPr>
      <w:r w:rsidRPr="00C8327E">
        <w:rPr>
          <w:rFonts w:ascii="Calibri" w:eastAsia="Calibri" w:hAnsi="Calibri" w:cs="Calibri"/>
          <w:lang w:val="es-CR"/>
        </w:rPr>
        <w:t xml:space="preserve">ECPAT International desarrolló </w:t>
      </w:r>
      <w:hyperlink r:id="rId9" w:history="1">
        <w:r w:rsidRPr="00C8327E">
          <w:rPr>
            <w:rFonts w:ascii="Calibri" w:eastAsia="Calibri" w:hAnsi="Calibri" w:cs="Calibri"/>
            <w:color w:val="0000FF" w:themeColor="hyperlink"/>
            <w:u w:val="single"/>
            <w:lang w:val="es-CR"/>
          </w:rPr>
          <w:t>una lista de verificación legal</w:t>
        </w:r>
      </w:hyperlink>
      <w:r w:rsidRPr="00C8327E">
        <w:rPr>
          <w:rFonts w:ascii="Calibri" w:eastAsia="Calibri" w:hAnsi="Calibri" w:cs="Calibri"/>
          <w:lang w:val="es-CR"/>
        </w:rPr>
        <w:t xml:space="preserve"> para los gobiernos que brinda orientación </w:t>
      </w:r>
      <w:r w:rsidR="00C8327E">
        <w:rPr>
          <w:rFonts w:ascii="Calibri" w:eastAsia="Calibri" w:hAnsi="Calibri" w:cs="Calibri"/>
          <w:lang w:val="es-CR"/>
        </w:rPr>
        <w:t>sobre</w:t>
      </w:r>
      <w:r w:rsidRPr="00C8327E">
        <w:rPr>
          <w:rFonts w:ascii="Calibri" w:eastAsia="Calibri" w:hAnsi="Calibri" w:cs="Calibri"/>
          <w:lang w:val="es-CR"/>
        </w:rPr>
        <w:t xml:space="preserve"> las intervenciones legales y las medidas </w:t>
      </w:r>
      <w:r w:rsidR="00C8327E">
        <w:rPr>
          <w:rFonts w:ascii="Calibri" w:eastAsia="Calibri" w:hAnsi="Calibri" w:cs="Calibri"/>
          <w:lang w:val="es-CR"/>
        </w:rPr>
        <w:t>por</w:t>
      </w:r>
      <w:r w:rsidRPr="00C8327E">
        <w:rPr>
          <w:rFonts w:ascii="Calibri" w:eastAsia="Calibri" w:hAnsi="Calibri" w:cs="Calibri"/>
          <w:lang w:val="es-CR"/>
        </w:rPr>
        <w:t xml:space="preserve"> adoptar para mejorar sus marcos legales nacionales </w:t>
      </w:r>
      <w:r w:rsidR="00C8327E">
        <w:rPr>
          <w:rFonts w:ascii="Calibri" w:eastAsia="Calibri" w:hAnsi="Calibri" w:cs="Calibri"/>
          <w:lang w:val="es-CR"/>
        </w:rPr>
        <w:t>y</w:t>
      </w:r>
      <w:r w:rsidRPr="00C8327E">
        <w:rPr>
          <w:rFonts w:ascii="Calibri" w:eastAsia="Calibri" w:hAnsi="Calibri" w:cs="Calibri"/>
          <w:lang w:val="es-CR"/>
        </w:rPr>
        <w:t xml:space="preserve"> abordar de manera más efectiva el delito de explotación sexual de niños, niñas y adolescentes en los viajes y el turismo, junto con sus elementos en línea.</w:t>
      </w:r>
    </w:p>
    <w:p w14:paraId="1310C214" w14:textId="77777777" w:rsidR="006B3617" w:rsidRPr="00C8327E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CR"/>
        </w:rPr>
      </w:pPr>
    </w:p>
    <w:p w14:paraId="04F22CBF" w14:textId="48AF9BB2" w:rsidR="006B3617" w:rsidRPr="006B3617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ES_tradnl"/>
        </w:rPr>
      </w:pPr>
      <w:r w:rsidRPr="006B3617">
        <w:rPr>
          <w:rFonts w:ascii="Calibri" w:eastAsia="Calibri" w:hAnsi="Calibri" w:cs="Calibri"/>
          <w:lang w:val="es-ES_tradnl"/>
        </w:rPr>
        <w:t xml:space="preserve">La lista de verificación legal se desarrolló sobre la base de las recomendaciones del primer </w:t>
      </w:r>
      <w:hyperlink r:id="rId10" w:history="1">
        <w:r w:rsidRPr="006B3617">
          <w:rPr>
            <w:rFonts w:ascii="Calibri" w:eastAsia="Calibri" w:hAnsi="Calibri" w:cs="Calibri"/>
            <w:color w:val="0000FF" w:themeColor="hyperlink"/>
            <w:u w:val="single"/>
            <w:lang w:val="es-ES_tradnl"/>
          </w:rPr>
          <w:t>Estudio Global</w:t>
        </w:r>
      </w:hyperlink>
      <w:r w:rsidRPr="006B3617">
        <w:rPr>
          <w:rFonts w:ascii="Calibri" w:eastAsia="Calibri" w:hAnsi="Calibri" w:cs="Calibri"/>
          <w:lang w:val="es-ES_tradnl"/>
        </w:rPr>
        <w:t xml:space="preserve"> sobre la explotación sexual de niños, niñas y adolescentes en el contexto de los viajes y el turismo. Tras el desarrollo de esta lista de verificación legal, ECPAT International llevó a cabo un análisis de país para </w:t>
      </w:r>
      <w:r w:rsidR="0035689D">
        <w:rPr>
          <w:rFonts w:ascii="Calibri" w:eastAsia="Calibri" w:hAnsi="Calibri" w:cs="Calibri"/>
          <w:lang w:val="es-ES_tradnl"/>
        </w:rPr>
        <w:t>Paraguay</w:t>
      </w:r>
      <w:r w:rsidRPr="006B3617">
        <w:rPr>
          <w:rFonts w:ascii="Calibri" w:eastAsia="Calibri" w:hAnsi="Calibri" w:cs="Calibri"/>
          <w:lang w:val="es-ES_tradnl"/>
        </w:rPr>
        <w:t xml:space="preserve"> y otros países de</w:t>
      </w:r>
      <w:r w:rsidR="0035689D">
        <w:rPr>
          <w:rFonts w:ascii="Calibri" w:eastAsia="Calibri" w:hAnsi="Calibri" w:cs="Calibri"/>
          <w:lang w:val="es-ES_tradnl"/>
        </w:rPr>
        <w:t xml:space="preserve"> </w:t>
      </w:r>
      <w:r w:rsidR="0035689D" w:rsidRPr="006B3617">
        <w:rPr>
          <w:rFonts w:ascii="Calibri" w:eastAsia="Calibri" w:hAnsi="Calibri" w:cs="Calibri"/>
          <w:lang w:val="es-ES_tradnl"/>
        </w:rPr>
        <w:t>las Américas</w:t>
      </w:r>
      <w:r w:rsidRPr="006B3617">
        <w:rPr>
          <w:rFonts w:ascii="Calibri" w:eastAsia="Calibri" w:hAnsi="Calibri" w:cs="Calibri"/>
          <w:lang w:val="es-ES_tradnl"/>
        </w:rPr>
        <w:t xml:space="preserve"> África, así como el sudeste de Asia, Asia y </w:t>
      </w:r>
      <w:r w:rsidR="0035689D" w:rsidRPr="006B3617">
        <w:rPr>
          <w:rFonts w:ascii="Calibri" w:eastAsia="Calibri" w:hAnsi="Calibri" w:cs="Calibri"/>
          <w:lang w:val="es-ES_tradnl"/>
        </w:rPr>
        <w:t>África</w:t>
      </w:r>
      <w:r w:rsidRPr="006B3617">
        <w:rPr>
          <w:rFonts w:ascii="Calibri" w:eastAsia="Calibri" w:hAnsi="Calibri" w:cs="Calibri"/>
          <w:lang w:val="es-ES_tradnl"/>
        </w:rPr>
        <w:t>.</w:t>
      </w:r>
    </w:p>
    <w:p w14:paraId="59AB46B2" w14:textId="77777777" w:rsidR="006B3617" w:rsidRPr="00C8327E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CR"/>
        </w:rPr>
      </w:pPr>
    </w:p>
    <w:p w14:paraId="1AC3F40E" w14:textId="70678A4E" w:rsidR="006B3617" w:rsidRPr="006B3617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ES_tradnl"/>
        </w:rPr>
      </w:pPr>
      <w:r w:rsidRPr="006B3617">
        <w:rPr>
          <w:rFonts w:ascii="Calibri" w:eastAsia="Calibri" w:hAnsi="Calibri" w:cs="Calibri"/>
          <w:lang w:val="es-ES_tradnl"/>
        </w:rPr>
        <w:t>Los análisis de países sirven como base para indicar y rastrear el estado de implementación de las intervenciones legales dentro y entre las cuatro regiones. Proporcionan a los gobiernos instrucciones claras para mejorar sus acciones con respecto a la protección</w:t>
      </w:r>
      <w:r w:rsidR="00C8327E">
        <w:rPr>
          <w:rFonts w:ascii="Calibri" w:eastAsia="Calibri" w:hAnsi="Calibri" w:cs="Calibri"/>
          <w:lang w:val="es-ES_tradnl"/>
        </w:rPr>
        <w:t xml:space="preserve"> de las personas menores de edad</w:t>
      </w:r>
      <w:r w:rsidRPr="006B3617">
        <w:rPr>
          <w:rFonts w:ascii="Calibri" w:eastAsia="Calibri" w:hAnsi="Calibri" w:cs="Calibri"/>
          <w:lang w:val="es-ES_tradnl"/>
        </w:rPr>
        <w:t xml:space="preserve"> contra la explotación sexual en el contexto de los viajes y el turismo, incluidos sus elementos en línea.</w:t>
      </w:r>
    </w:p>
    <w:p w14:paraId="6A768B4F" w14:textId="77777777" w:rsidR="006B3617" w:rsidRPr="00C8327E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CR"/>
        </w:rPr>
      </w:pPr>
    </w:p>
    <w:p w14:paraId="60CB47D0" w14:textId="77777777" w:rsidR="006B3617" w:rsidRPr="006B3617" w:rsidRDefault="006B3617" w:rsidP="006B3617">
      <w:pPr>
        <w:widowControl w:val="0"/>
        <w:spacing w:line="240" w:lineRule="auto"/>
        <w:jc w:val="both"/>
        <w:rPr>
          <w:rFonts w:ascii="Calibri" w:eastAsia="Calibri" w:hAnsi="Calibri" w:cs="Calibri"/>
          <w:lang w:val="es-ES" w:eastAsia="es-NI"/>
        </w:rPr>
      </w:pPr>
      <w:r w:rsidRPr="006B3617">
        <w:rPr>
          <w:rFonts w:ascii="Calibri" w:eastAsia="Calibri" w:hAnsi="Calibri" w:cs="Calibri"/>
          <w:lang w:val="es-ES_tradnl"/>
        </w:rPr>
        <w:t xml:space="preserve">La siguiente tabla permite evaluar fácilmente la legislación existente en comparación con las 24 medidas de la lista de verificación legal. Se actualizará a medida que cambien las leyes y políticas. Se pueden consultar la </w:t>
      </w:r>
      <w:hyperlink r:id="rId11" w:history="1">
        <w:r w:rsidRPr="006B3617">
          <w:rPr>
            <w:rFonts w:ascii="Calibri" w:eastAsia="Calibri" w:hAnsi="Calibri" w:cs="Calibri"/>
            <w:color w:val="0000FF" w:themeColor="hyperlink"/>
            <w:u w:val="single"/>
            <w:lang w:val="es-ES_tradnl"/>
          </w:rPr>
          <w:t>nota explicativa</w:t>
        </w:r>
      </w:hyperlink>
      <w:r w:rsidRPr="006B3617">
        <w:rPr>
          <w:rFonts w:ascii="Calibri" w:eastAsia="Calibri" w:hAnsi="Calibri" w:cs="Calibri"/>
          <w:lang w:val="es-ES_tradnl"/>
        </w:rPr>
        <w:t xml:space="preserve"> y la </w:t>
      </w:r>
      <w:hyperlink r:id="rId12" w:history="1">
        <w:r w:rsidRPr="006B3617">
          <w:rPr>
            <w:rFonts w:ascii="Calibri" w:eastAsia="Calibri" w:hAnsi="Calibri" w:cs="Calibri"/>
            <w:color w:val="0000FF" w:themeColor="hyperlink"/>
            <w:u w:val="single"/>
            <w:lang w:val="es-ES_tradnl"/>
          </w:rPr>
          <w:t>matriz de evaluación</w:t>
        </w:r>
      </w:hyperlink>
      <w:r w:rsidRPr="006B3617">
        <w:rPr>
          <w:rFonts w:ascii="Calibri" w:eastAsia="Calibri" w:hAnsi="Calibri" w:cs="Calibri"/>
          <w:lang w:val="es-ES_tradnl"/>
        </w:rPr>
        <w:t xml:space="preserve"> para mayor referencia. </w:t>
      </w:r>
    </w:p>
    <w:p w14:paraId="42F4CFB1" w14:textId="77777777" w:rsidR="006B3617" w:rsidRPr="00C8327E" w:rsidRDefault="006B3617">
      <w:pPr>
        <w:rPr>
          <w:rFonts w:ascii="Calibri" w:eastAsia="Calibri" w:hAnsi="Calibri" w:cs="Calibri"/>
          <w:lang w:val="es-CR"/>
        </w:rPr>
      </w:pPr>
    </w:p>
    <w:p w14:paraId="3D2CB310" w14:textId="77777777" w:rsidR="007B6F44" w:rsidRPr="00C8327E" w:rsidRDefault="007B6F44">
      <w:pPr>
        <w:rPr>
          <w:rFonts w:ascii="Calibri" w:eastAsia="Calibri" w:hAnsi="Calibri" w:cs="Calibri"/>
          <w:lang w:val="es-CR"/>
        </w:rPr>
      </w:pPr>
    </w:p>
    <w:tbl>
      <w:tblPr>
        <w:tblStyle w:val="a1"/>
        <w:tblW w:w="1023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690"/>
        <w:gridCol w:w="795"/>
        <w:gridCol w:w="5220"/>
      </w:tblGrid>
      <w:tr w:rsidR="007B6F44" w14:paraId="21580DBD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4320" w14:textId="77777777" w:rsidR="007B6F44" w:rsidRPr="00C8327E" w:rsidRDefault="007B6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2C6B" w14:textId="77777777" w:rsidR="007B6F44" w:rsidRDefault="00E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Recomendaciones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E035" w14:textId="77777777" w:rsidR="007B6F44" w:rsidRDefault="00E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Implementado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3B34" w14:textId="77777777" w:rsidR="007B6F44" w:rsidRDefault="00E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Legislación</w:t>
            </w:r>
          </w:p>
        </w:tc>
      </w:tr>
      <w:tr w:rsidR="006B3617" w:rsidRPr="00920682" w14:paraId="1B10253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C8F4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755A" w14:textId="2A16B8A6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Establecer por ley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>la jurisdicción extraterritorial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, dentro de los parámetros del Artículo 4 del </w:t>
            </w:r>
            <w:r w:rsidR="00920682">
              <w:rPr>
                <w:rFonts w:ascii="Calibri" w:eastAsia="Calibri" w:hAnsi="Calibri" w:cs="Calibri"/>
                <w:lang w:val="es-CR"/>
              </w:rPr>
              <w:t>Protocolo Facultativo</w:t>
            </w:r>
            <w:r w:rsidR="00920682" w:rsidRPr="00920682">
              <w:rPr>
                <w:rFonts w:ascii="Calibri" w:eastAsia="Calibri" w:hAnsi="Calibri" w:cs="Calibri"/>
                <w:b/>
                <w:bCs/>
                <w:lang w:val="es-CR"/>
              </w:rPr>
              <w:t>*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, </w:t>
            </w:r>
          </w:p>
          <w:p w14:paraId="5C8203E1" w14:textId="77777777" w:rsidR="00920682" w:rsidRDefault="006B3617" w:rsidP="00920682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para todos los delitos de explotación sexual de niñas, niños y adolescentes, incluyendo aquellos que se producen en línea.</w:t>
            </w:r>
            <w:r w:rsidR="009137A4">
              <w:rPr>
                <w:rFonts w:ascii="Calibri" w:eastAsia="Calibri" w:hAnsi="Calibri" w:cs="Calibri"/>
                <w:lang w:val="es-CR"/>
              </w:rPr>
              <w:br/>
            </w:r>
          </w:p>
          <w:p w14:paraId="74110271" w14:textId="1EFED64A" w:rsidR="006B3617" w:rsidRPr="00060025" w:rsidRDefault="00920682" w:rsidP="009137A4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R"/>
              </w:rPr>
            </w:pPr>
            <w:r w:rsidRPr="00060025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R"/>
              </w:rPr>
              <w:t>*</w:t>
            </w:r>
            <w:r w:rsidR="00060025" w:rsidRPr="00060025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R"/>
              </w:rPr>
              <w:t xml:space="preserve"> </w:t>
            </w:r>
            <w:r w:rsidRPr="00060025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R"/>
              </w:rPr>
              <w:t>Protocolo facultativo de la Convención sobre los Derechos del Niño relativo a la venta de niños, la prostitución infantil y la utilización de niños en la pornografía.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A608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743D" w14:textId="2198F733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Código Penal en su artículo 8 establece que la ley paraguaya se aplicará a los hechos realizados en el extranjero y penalizados por el artículo 129b (trata de personas), y a los hechos punibles que la República del Paraguay, en virtud de un convenio o tratado internacional aprobado y ratificado, esté obligada a perseguir aun cuando hayan sido realizados en el extranjero. Sin embargo, está especificado que la ley penal paraguaya se aplicará sólo cuando el autor o partícipe haya ingresado al territorio nacional.</w:t>
            </w:r>
          </w:p>
          <w:p w14:paraId="7E3A2BA9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Además, según el artículo 9, la ley penal paraguaya se aplicará a los hechos realizados en el extranjero sólo cuando en el lugar de su realización, el hecho se halle penalmente sancionado y, el autor o partícipe, al tiempo de la realización del hecho, haya tenido nacionalidad paraguaya o la hubiera adquirido después </w:t>
            </w:r>
            <w:r>
              <w:rPr>
                <w:rFonts w:ascii="Calibri" w:eastAsia="Calibri" w:hAnsi="Calibri" w:cs="Calibri"/>
              </w:rPr>
              <w:lastRenderedPageBreak/>
              <w:t>de la realización del mismo o careciendo de nacionalidad, se encontrara en el territorio nacional y su extradición hubiera sido rechazada, a pesar de que ella, en virtud de la naturaleza del hecho, hubiera sido legalmente admisible.</w:t>
            </w:r>
          </w:p>
          <w:p w14:paraId="18A9FAFE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B1FD926" w14:textId="4C0E9AD8" w:rsidR="006B3617" w:rsidRPr="00C8327E" w:rsidRDefault="0035689D" w:rsidP="00356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No se especifica si estas disposiciones se aplican a los delitos cometidos en línea.</w:t>
            </w:r>
          </w:p>
          <w:p w14:paraId="1FDA76E6" w14:textId="77777777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</w:tr>
      <w:tr w:rsidR="006B3617" w:rsidRPr="00920682" w14:paraId="067BD05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18F3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9D71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Incluir en los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>tratados de extradición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 la explotación sexual de las niñas, niños y adolescentes como </w:t>
            </w:r>
          </w:p>
          <w:p w14:paraId="487A130B" w14:textId="4F3ACE25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delitos extraditables y, cuando corresponda, aplicar las disposiciones del Artículo 5 del OPSC, independientemente de la nacionalidad del (presunto) delincuente.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7500" w14:textId="7A537822" w:rsidR="006B3617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D3F9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Código Procesal Penal regirá la extradición activa y pasiva cuando no existan tratados (artículos 147 a 149).</w:t>
            </w:r>
          </w:p>
          <w:p w14:paraId="04C2D5F2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EF8B670" w14:textId="41965A43" w:rsidR="006B3617" w:rsidRPr="00C8327E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lang w:val="es-CR"/>
              </w:rPr>
            </w:pPr>
            <w:r>
              <w:rPr>
                <w:rFonts w:ascii="Calibri" w:eastAsia="Calibri" w:hAnsi="Calibri" w:cs="Calibri"/>
              </w:rPr>
              <w:t>La legislación nacional no proporciona información detallada sobre la aplicabilidad de la extradición a los delitos relacionados con la explotación sexual de NNA. Por lo tanto, es necesario hacer referencia a cada tratado internacional del cual Paraguay es Estado Parte.</w:t>
            </w:r>
          </w:p>
        </w:tc>
      </w:tr>
      <w:tr w:rsidR="006B3617" w:rsidRPr="00920682" w14:paraId="5638787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516D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FE5A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NO exigir el principio de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 xml:space="preserve">la doble criminalidad 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para proceder con jurisdicción extraterritorial o </w:t>
            </w:r>
          </w:p>
          <w:p w14:paraId="75E4A8CC" w14:textId="6051CAEA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extradición por delitos sexuales contra niñas, niños y adolescentes.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9105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63C8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criterio de la doble criminalidad se aplica cuando se trata de la jurisdicción extraterritorial.</w:t>
            </w:r>
          </w:p>
          <w:p w14:paraId="4CFABA36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4DA4FE9" w14:textId="49C67931" w:rsidR="006B3617" w:rsidRPr="00C8327E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El criterio de la doble criminalidad no se aplica en los casos de extradición.</w:t>
            </w:r>
          </w:p>
        </w:tc>
      </w:tr>
      <w:tr w:rsidR="006B3617" w:rsidRPr="00920682" w14:paraId="06DB089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0009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6380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Abolir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>las limitaciones legales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 para el enjuiciamiento de todos los delitos de explotación sexual </w:t>
            </w:r>
          </w:p>
          <w:p w14:paraId="410E1392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de niñas, niños y adolescentes.</w:t>
            </w:r>
          </w:p>
          <w:p w14:paraId="637849CF" w14:textId="3CE2558A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83A9" w14:textId="15CCA343" w:rsidR="006B3617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AEBA" w14:textId="4110C151" w:rsidR="006B3617" w:rsidRPr="00C8327E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El Código Penal en su artículo 102 establece plazos de prescripción.</w:t>
            </w:r>
          </w:p>
        </w:tc>
      </w:tr>
      <w:tr w:rsidR="006B3617" w:rsidRPr="00920682" w14:paraId="03DFEDED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355E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0694" w14:textId="4281F1A9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Establecer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>condiciones para cualquier viaje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 de personas condenadas por explotación sexual de niñas, niños y adolescentes.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34C9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5615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Artículo 6 de la Ley de Migraciones prohíbe el ingreso de los extranjeros en el territorio nacional cuando han sido condenados por delitos dolosos, a más de dos años de penitenciaría, y cuando ejerzan o lucren con la prostitución, los que trafiquen ilegalmente con personas.</w:t>
            </w:r>
          </w:p>
          <w:p w14:paraId="6F6C5871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282ED8C" w14:textId="2A89C7B6" w:rsidR="006B3617" w:rsidRPr="00C8327E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Artículo 245 del Código Procesal Penal autoriza al Juez a prohibir la salida del perpetrador del país, de la localidad en la cual resida o del ámbito territorial que fija.</w:t>
            </w:r>
          </w:p>
        </w:tc>
      </w:tr>
      <w:tr w:rsidR="006B3617" w:rsidRPr="00920682" w14:paraId="4D8714F0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5D50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9316" w14:textId="1A80EB5B" w:rsidR="006B3617" w:rsidRPr="005B6BE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5B6BEE">
              <w:rPr>
                <w:rFonts w:ascii="Calibri" w:eastAsia="Calibri" w:hAnsi="Calibri" w:cs="Calibri"/>
                <w:lang w:val="es-CR"/>
              </w:rPr>
              <w:t xml:space="preserve">Definir </w:t>
            </w:r>
            <w:r w:rsidRPr="005B6BEE">
              <w:rPr>
                <w:rFonts w:ascii="Calibri" w:eastAsia="Calibri" w:hAnsi="Calibri" w:cs="Calibri"/>
                <w:b/>
                <w:lang w:val="es-CR"/>
              </w:rPr>
              <w:t>el término ‘niño’</w:t>
            </w:r>
            <w:r w:rsidRPr="005B6BEE">
              <w:rPr>
                <w:rFonts w:ascii="Calibri" w:eastAsia="Calibri" w:hAnsi="Calibri" w:cs="Calibri"/>
                <w:lang w:val="es-CR"/>
              </w:rPr>
              <w:t xml:space="preserve">, como cualquier persona </w:t>
            </w:r>
            <w:r w:rsidRPr="005B6BEE">
              <w:rPr>
                <w:rFonts w:ascii="Calibri" w:eastAsia="Calibri" w:hAnsi="Calibri" w:cs="Calibri"/>
                <w:b/>
                <w:lang w:val="es-CR"/>
              </w:rPr>
              <w:t>menor de 18 años</w:t>
            </w:r>
            <w:r w:rsidRPr="005B6BEE">
              <w:rPr>
                <w:rFonts w:ascii="Calibri" w:eastAsia="Calibri" w:hAnsi="Calibri" w:cs="Calibri"/>
                <w:lang w:val="es-CR"/>
              </w:rPr>
              <w:t>, a efectos de todos los delitos de la explotación sexual de niñas, niños y adolescentes independientemente de la edad del consentimiento sexual.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A8B5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51BF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Ley N° 2169/2003, en su artículo 3 define el término “niño” como toda persona desde la concepción hasta los trece años de edad y los adolescentes como toda persona desde los catorce hasta los diecisiete años de edad, siendo mayor de edad toda persona humana desde los dieciocho años de edad.</w:t>
            </w:r>
          </w:p>
          <w:p w14:paraId="0C52EA93" w14:textId="77777777" w:rsidR="0035689D" w:rsidRDefault="0035689D" w:rsidP="0035689D">
            <w:pPr>
              <w:widowControl w:val="0"/>
              <w:spacing w:before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Artículo 129b tipifica la trata de personas con fines de </w:t>
            </w:r>
            <w:r>
              <w:rPr>
                <w:rFonts w:ascii="Calibri" w:eastAsia="Calibri" w:hAnsi="Calibri" w:cs="Calibri"/>
              </w:rPr>
              <w:lastRenderedPageBreak/>
              <w:t>explotación sexual de NNA. Artículo 139 penaliza el proxenetismo de NNA. Artículo 140 penaliza la pornografia de NNA. El artículo 223 tipifica el tráfico de menores.</w:t>
            </w:r>
          </w:p>
          <w:p w14:paraId="3F6CD729" w14:textId="63FDC93D" w:rsidR="006B3617" w:rsidRPr="00C8327E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La Ley 4788/12 contra la trata de personas tipificando la trata de personas con fines de explotación sexual de NNA.</w:t>
            </w:r>
          </w:p>
        </w:tc>
      </w:tr>
      <w:tr w:rsidR="006B3617" w:rsidRPr="00920682" w14:paraId="7A8C1E09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1B3F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5172" w14:textId="77777777" w:rsidR="006B3617" w:rsidRPr="00934C77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934C77">
              <w:rPr>
                <w:rFonts w:ascii="Calibri" w:eastAsia="Calibri" w:hAnsi="Calibri" w:cs="Calibri"/>
                <w:lang w:val="es-CR"/>
              </w:rPr>
              <w:t xml:space="preserve">Asegurar que </w:t>
            </w:r>
            <w:r w:rsidRPr="00934C77">
              <w:rPr>
                <w:rFonts w:ascii="Calibri" w:eastAsia="Calibri" w:hAnsi="Calibri" w:cs="Calibri"/>
                <w:b/>
                <w:lang w:val="es-CR"/>
              </w:rPr>
              <w:t>la edad de consentimiento sexual</w:t>
            </w:r>
            <w:r w:rsidRPr="00934C77">
              <w:rPr>
                <w:rFonts w:ascii="Calibri" w:eastAsia="Calibri" w:hAnsi="Calibri" w:cs="Calibri"/>
                <w:lang w:val="es-CR"/>
              </w:rPr>
              <w:t xml:space="preserve"> tanto para las personas de sexo masculino como para las de sexo femenino sea de 18 años y que se proporcione </w:t>
            </w:r>
            <w:r w:rsidRPr="00934C77">
              <w:rPr>
                <w:rFonts w:ascii="Calibri" w:eastAsia="Calibri" w:hAnsi="Calibri" w:cs="Calibri"/>
                <w:b/>
                <w:lang w:val="es-CR"/>
              </w:rPr>
              <w:t>una exención de edad cercana</w:t>
            </w:r>
          </w:p>
          <w:p w14:paraId="46EA59C8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(hasta 3 años) para las relaciones sexuales consensuales entre adolescentes a fin de permitir el </w:t>
            </w:r>
          </w:p>
          <w:p w14:paraId="4091147B" w14:textId="27831F8E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contacto sexual voluntario, bien informado y mutuo entre compañeros de la misma edad y para prevenir la criminalización de los jóvenes en relaciones sexuales voluntarias.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8F4C" w14:textId="1F4A2792" w:rsidR="00E30EF8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1326" w14:textId="77777777" w:rsidR="006B3617" w:rsidRDefault="0035689D" w:rsidP="00853DE5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  <w:lang w:val="es-CR"/>
              </w:rPr>
              <w:t xml:space="preserve">La edad de consentimiento sexual en Paraguay es 14 (Código Penal artículo 135). Cuando los actos sexuales se realizan entre un mayor de edad y una persona 14-16 del mismo sexo, el acto será punible. </w:t>
            </w:r>
          </w:p>
          <w:p w14:paraId="1870FAFA" w14:textId="77777777" w:rsidR="0035689D" w:rsidRDefault="0035689D" w:rsidP="00853DE5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  <w:p w14:paraId="54451D91" w14:textId="09E3ACB8" w:rsidR="0035689D" w:rsidRPr="00934C77" w:rsidRDefault="0035689D" w:rsidP="00853DE5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  <w:lang w:val="es-CR"/>
              </w:rPr>
              <w:t xml:space="preserve">No existe ninguna exención de edad cercana bajo la ley paraguayana. </w:t>
            </w:r>
          </w:p>
        </w:tc>
      </w:tr>
      <w:tr w:rsidR="006B3617" w:rsidRPr="00920682" w14:paraId="670209D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41B8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12D4" w14:textId="79907A2D" w:rsidR="006B3617" w:rsidRPr="00E30EF8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Tener una ley o reglamento que establezca </w:t>
            </w:r>
            <w:r w:rsidRPr="00E30EF8">
              <w:rPr>
                <w:rFonts w:ascii="Calibri" w:eastAsia="Calibri" w:hAnsi="Calibri" w:cs="Calibri"/>
                <w:b/>
                <w:lang w:val="es-CR"/>
              </w:rPr>
              <w:t>un mecanismo para el registro centralizado de delincuentes sexuales</w:t>
            </w:r>
            <w:r w:rsidRPr="00E30EF8">
              <w:rPr>
                <w:rFonts w:ascii="Calibri" w:eastAsia="Calibri" w:hAnsi="Calibri" w:cs="Calibri"/>
                <w:lang w:val="es-CR"/>
              </w:rPr>
              <w:t xml:space="preserve"> que se haya implementado / determinado.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008B" w14:textId="38D62670" w:rsidR="006B3617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92DD" w14:textId="28C804AA" w:rsidR="006B3617" w:rsidRPr="00E30EF8" w:rsidRDefault="0035689D" w:rsidP="006B3617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En Junio de 2020, se aprueba el proyecto de ley para la creación de un registro nacional de agresores sexuales de niños, niñas y adolescentes.</w:t>
            </w:r>
          </w:p>
        </w:tc>
      </w:tr>
      <w:tr w:rsidR="006B3617" w:rsidRPr="00920682" w14:paraId="7CBE4D0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69FA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5938" w14:textId="77777777" w:rsidR="006B3617" w:rsidRPr="00E30EF8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Establecer </w:t>
            </w:r>
            <w:r w:rsidRPr="00E30EF8">
              <w:rPr>
                <w:rFonts w:ascii="Calibri" w:eastAsia="Calibri" w:hAnsi="Calibri" w:cs="Calibri"/>
                <w:b/>
                <w:lang w:val="es-CR"/>
              </w:rPr>
              <w:t>condiciones de libertad bajo fianza</w:t>
            </w:r>
            <w:r w:rsidRPr="00E30EF8">
              <w:rPr>
                <w:rFonts w:ascii="Calibri" w:eastAsia="Calibri" w:hAnsi="Calibri" w:cs="Calibri"/>
                <w:lang w:val="es-CR"/>
              </w:rPr>
              <w:t xml:space="preserve"> que prohíban a las personas acusadas de delitos </w:t>
            </w:r>
          </w:p>
          <w:p w14:paraId="462E72BD" w14:textId="4E0C5F42" w:rsidR="006B3617" w:rsidRPr="00E30EF8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>sexuales contra niñas, niños y adolescentes viajar fuera del país.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8B1B" w14:textId="2C58D284" w:rsidR="006B3617" w:rsidRDefault="0035689D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5824" w14:textId="67174125" w:rsidR="006B3617" w:rsidRPr="00E30EF8" w:rsidRDefault="0035689D" w:rsidP="00853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red"/>
                <w:lang w:val="es-CR"/>
              </w:rPr>
            </w:pPr>
            <w:r>
              <w:rPr>
                <w:rFonts w:ascii="Calibri" w:eastAsia="Calibri" w:hAnsi="Calibri" w:cs="Calibri"/>
              </w:rPr>
              <w:t>Artículo 245 del Código Procesal Penal autoriza la prestación de una caución real adecuada, por el propio imputado o por otra persona, mediante depósito de dinero, valores, constitución de prenda o hipoteca, entrega de bienes o la fianza de una o más personas idóneas, como medida alternativa a la prisión preventiva.</w:t>
            </w:r>
          </w:p>
        </w:tc>
      </w:tr>
      <w:tr w:rsidR="006B3617" w:rsidRPr="00920682" w14:paraId="0EA97A14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A0E5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3730" w14:textId="77777777" w:rsidR="006B3617" w:rsidRPr="00E30EF8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Asegurar que la ley penalice la mera </w:t>
            </w:r>
            <w:r w:rsidRPr="00E30EF8">
              <w:rPr>
                <w:rFonts w:ascii="Calibri" w:eastAsia="Calibri" w:hAnsi="Calibri" w:cs="Calibri"/>
                <w:b/>
                <w:lang w:val="es-CR"/>
              </w:rPr>
              <w:t>tentativa de cometer un delito</w:t>
            </w:r>
            <w:r w:rsidRPr="00E30EF8">
              <w:rPr>
                <w:rFonts w:ascii="Calibri" w:eastAsia="Calibri" w:hAnsi="Calibri" w:cs="Calibri"/>
                <w:lang w:val="es-CR"/>
              </w:rPr>
              <w:t xml:space="preserve"> de explotación sexual de </w:t>
            </w:r>
          </w:p>
          <w:p w14:paraId="59323034" w14:textId="479BDF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F93808">
              <w:rPr>
                <w:rFonts w:ascii="Calibri" w:eastAsia="Calibri" w:hAnsi="Calibri" w:cs="Calibri"/>
              </w:rPr>
              <w:t>niñas, niños y adolescentes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31E0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AEFB" w14:textId="77777777" w:rsidR="0035689D" w:rsidRDefault="0035689D" w:rsidP="0035689D">
            <w:pPr>
              <w:widowControl w:val="0"/>
              <w:spacing w:before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Artículos 26 y 27 del Código Penal definen la tentativa de crímenes como punible aplicando los marcos penales previstos para los hechos punibles consumados.</w:t>
            </w:r>
          </w:p>
          <w:p w14:paraId="79A6CA3D" w14:textId="77777777" w:rsidR="006B3617" w:rsidRPr="00E30EF8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</w:tr>
      <w:tr w:rsidR="006B3617" w:rsidRPr="00920682" w14:paraId="486B98E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04BF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A242" w14:textId="77777777" w:rsidR="006B3617" w:rsidRPr="00E30EF8" w:rsidRDefault="006B3617" w:rsidP="006B3617">
            <w:pPr>
              <w:spacing w:line="240" w:lineRule="auto"/>
              <w:rPr>
                <w:rFonts w:ascii="Calibri" w:eastAsia="Calibri" w:hAnsi="Calibri" w:cs="Calibri"/>
                <w:b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Imponer sanciones más severas por </w:t>
            </w:r>
            <w:r w:rsidRPr="00E30EF8">
              <w:rPr>
                <w:rFonts w:ascii="Calibri" w:eastAsia="Calibri" w:hAnsi="Calibri" w:cs="Calibri"/>
                <w:b/>
                <w:lang w:val="es-CR"/>
              </w:rPr>
              <w:t xml:space="preserve">reincidencia en caso de explotación sexual contra niñas, niños y </w:t>
            </w:r>
          </w:p>
          <w:p w14:paraId="753B89F3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b/>
                <w:lang w:val="es-CR"/>
              </w:rPr>
              <w:t>adolescentes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, p. ej. al definir la reincidencia como una circunstancia agravante, independientemente </w:t>
            </w:r>
          </w:p>
          <w:p w14:paraId="6C6BBEB1" w14:textId="08283687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de que los delitos hayan sido perpetrados en el extranjero o en el </w:t>
            </w:r>
            <w:r w:rsidRPr="00C8327E">
              <w:rPr>
                <w:rFonts w:ascii="Calibri" w:eastAsia="Calibri" w:hAnsi="Calibri" w:cs="Calibri"/>
                <w:lang w:val="es-CR"/>
              </w:rPr>
              <w:lastRenderedPageBreak/>
              <w:t xml:space="preserve">país.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8C0D" w14:textId="2727FC4C" w:rsidR="006B3617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9F6A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parece existir un régimen general de reincidencia. </w:t>
            </w:r>
          </w:p>
          <w:p w14:paraId="1F422AAB" w14:textId="7F369286" w:rsidR="006B3617" w:rsidRPr="00C8327E" w:rsidRDefault="0035689D" w:rsidP="00356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Sin embargo, el artículo 140 penalisando la pronografia infantil especifica que el que actuara comercialmente o como miembro de una banda dedicada a la realización reiterada de los hechos punibles señalados será sancionado con una pena privativa de libertad hasta diez años.</w:t>
            </w:r>
          </w:p>
        </w:tc>
      </w:tr>
      <w:tr w:rsidR="006B3617" w:rsidRPr="00920682" w14:paraId="46935D4D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5A90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650B" w14:textId="77777777" w:rsidR="006B3617" w:rsidRPr="00E30EF8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Proporcionar </w:t>
            </w:r>
            <w:r w:rsidRPr="00E30EF8">
              <w:rPr>
                <w:rFonts w:ascii="Calibri" w:eastAsia="Calibri" w:hAnsi="Calibri" w:cs="Calibri"/>
                <w:b/>
                <w:lang w:val="es-CR"/>
              </w:rPr>
              <w:t>informes obligatorios</w:t>
            </w:r>
            <w:r w:rsidRPr="00E30EF8">
              <w:rPr>
                <w:rFonts w:ascii="Calibri" w:eastAsia="Calibri" w:hAnsi="Calibri" w:cs="Calibri"/>
                <w:lang w:val="es-CR"/>
              </w:rPr>
              <w:t xml:space="preserve"> para profesiones particulares que tienen probabilidad de tener </w:t>
            </w:r>
          </w:p>
          <w:p w14:paraId="2E002A31" w14:textId="6EBB1DF3" w:rsidR="006B3617" w:rsidRPr="00E30EF8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>contacto con niñas, niños y adolescentes que puedan revelar la explotación sexual.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7882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6293" w14:textId="1CCD1966" w:rsidR="006B3617" w:rsidRPr="00C8327E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El Código de la Niñez y Adolescencia en su artículo 5 establece una obligación de denuncia por parte de toda persona que tenga conocimiento de una violación a los derechos y garantías del niño o adolescente especificando que el deber de denunciar incumbe en especial a las perso­nas que en su calidad de trabajadores de la salud, educadores, docentes o de profesionales de otra es­pecialidad desempeñen tareas de guarda, educación o atención de niños o adolescentes.</w:t>
            </w:r>
          </w:p>
          <w:p w14:paraId="791570C0" w14:textId="77777777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</w:tr>
      <w:tr w:rsidR="006B3617" w:rsidRPr="00920682" w14:paraId="32736B0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2E03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A69B" w14:textId="77777777" w:rsidR="006B3617" w:rsidRPr="00E30EF8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Establecer estándares obligatorios de protección infantil regulados por el gobierno para la industria </w:t>
            </w:r>
          </w:p>
          <w:p w14:paraId="47452C6D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del turismo, por ejemplo, atribuir la responsabilidad a una autoridad reguladora apropiada y / o </w:t>
            </w:r>
          </w:p>
          <w:p w14:paraId="43C61A34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implementar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>códigos nacionales específicos de la industria para la protección infantil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 como un </w:t>
            </w:r>
          </w:p>
          <w:p w14:paraId="2A44F72B" w14:textId="21E8171B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requisito legal para el funcionamiento de la industria de viajes y turismo.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EA70" w14:textId="51D48A83" w:rsidR="006B3617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6011" w14:textId="6A7A46D3" w:rsidR="006B3617" w:rsidRPr="00E30EF8" w:rsidRDefault="0035689D" w:rsidP="00853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Paraguay todavía no ha implementado un código nacional de conducta específico de la industria turística para la protección de NNA.</w:t>
            </w:r>
          </w:p>
        </w:tc>
      </w:tr>
      <w:tr w:rsidR="006B3617" w:rsidRPr="00920682" w14:paraId="51357EE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D951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8628" w14:textId="77777777" w:rsidR="006B3617" w:rsidRPr="003473D9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3473D9">
              <w:rPr>
                <w:rFonts w:ascii="Calibri" w:eastAsia="Calibri" w:hAnsi="Calibri" w:cs="Calibri"/>
                <w:lang w:val="es-CR"/>
              </w:rPr>
              <w:t xml:space="preserve">Garantizar </w:t>
            </w:r>
            <w:r w:rsidRPr="003473D9">
              <w:rPr>
                <w:rFonts w:ascii="Calibri" w:eastAsia="Calibri" w:hAnsi="Calibri" w:cs="Calibri"/>
                <w:b/>
                <w:lang w:val="es-CR"/>
              </w:rPr>
              <w:t>la responsabilidad de las empresas</w:t>
            </w:r>
            <w:r w:rsidRPr="003473D9">
              <w:rPr>
                <w:rFonts w:ascii="Calibri" w:eastAsia="Calibri" w:hAnsi="Calibri" w:cs="Calibri"/>
                <w:lang w:val="es-CR"/>
              </w:rPr>
              <w:t xml:space="preserve"> de viajes y turismo (en operaciones y cadenas de </w:t>
            </w:r>
          </w:p>
          <w:p w14:paraId="62165644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suministro) por conductas delictivas, que incluyen:</w:t>
            </w:r>
          </w:p>
          <w:p w14:paraId="0DF84F37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• Organizar arreglos de viaje o transporte que tengan la intención explícita o implícita de crear o </w:t>
            </w:r>
          </w:p>
          <w:p w14:paraId="0A03A2A9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facilitar oportunidades para involucrar (involucrar) a niñas, niños y adolescentes en actividades </w:t>
            </w:r>
          </w:p>
          <w:p w14:paraId="4883F148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sexuales;</w:t>
            </w:r>
          </w:p>
          <w:p w14:paraId="08CC205D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• Procurar, ayudar o incitar a la conducta sexual de explotación contra un niño/una niña/adolescente;</w:t>
            </w:r>
          </w:p>
          <w:p w14:paraId="1A025506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• Hacer publicidad de o promover la explotación sexual de NNA;</w:t>
            </w:r>
          </w:p>
          <w:p w14:paraId="6684745C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• Beneficiarse, por cualquier medio, de cualquier forma de explotación sexual de un niño/una </w:t>
            </w:r>
          </w:p>
          <w:p w14:paraId="095497E8" w14:textId="0270DB92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niña/adolescente (o niños/adolescentes) en el contexto de su negocio de viajes y turismo.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49FE" w14:textId="2FEFE795" w:rsidR="006B3617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C1AA" w14:textId="21940603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</w:tr>
      <w:tr w:rsidR="006B3617" w:rsidRPr="00920682" w14:paraId="2FCF79C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768E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15.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8FDA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b/>
                <w:lang w:val="es-CR"/>
              </w:rPr>
              <w:t>Penalizar el grooming de niñas, niños y adolescentes con fines sexuales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(a menudo denominado </w:t>
            </w:r>
          </w:p>
          <w:p w14:paraId="5C0F75DC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“solicitación” según la ley) incluso a través de Internet y otras tecnologías de la comunicación para </w:t>
            </w:r>
          </w:p>
          <w:p w14:paraId="529AEB1E" w14:textId="582966B1" w:rsidR="006B3617" w:rsidRPr="007B4101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>facilitar la explotación sexual en línea o fuera de línea.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CD52" w14:textId="47E3571D" w:rsidR="006B3617" w:rsidRDefault="0035689D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7A17" w14:textId="6E53A0CF" w:rsidR="007B4101" w:rsidRPr="007B4101" w:rsidRDefault="0035689D" w:rsidP="007B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Existe un proyecto de ley para reformar el artículo 135 del Código Penal (abuso sexual en niños) para definir y sancionar el “grooming”.</w:t>
            </w:r>
          </w:p>
        </w:tc>
      </w:tr>
      <w:tr w:rsidR="006B3617" w:rsidRPr="00920682" w14:paraId="663A2FEE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B4B0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A545" w14:textId="340785E6" w:rsidR="006B3617" w:rsidRPr="007B4101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Establecer una legislación que requiera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>una verificación de antecedentes penales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para cada persona (nacional o no nacional) que solicite trabajo con o para niñas, niños y adolescentes (NNA), o que esté trabajando actualmente con o para NNA. Introducir legislación que prohíba a los delincuentes sexuales condenados ocupar cargos que impliquen o faciliten el contacto con niñas/niños/adolescentes.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2008" w14:textId="5916FE6C" w:rsidR="006B3617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1CD6" w14:textId="622B67B9" w:rsidR="006B3617" w:rsidRPr="007B4101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</w:tr>
      <w:tr w:rsidR="006B3617" w:rsidRPr="00920682" w14:paraId="7091066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B6C5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1D0D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b/>
                <w:lang w:val="es-CR"/>
              </w:rPr>
              <w:t>Regular y supervisar el uso de voluntarios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(incluido el “volunturismo”) en entornos y actividades que impliquen contacto directo con niñas, niños y adolescentes, en particular prohibiendo las visitas </w:t>
            </w:r>
          </w:p>
          <w:p w14:paraId="52304CA5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a orfanatos / entornos de atención residencial a favor de reorientar la industria hacia soluciones </w:t>
            </w:r>
          </w:p>
          <w:p w14:paraId="7D698053" w14:textId="21F93660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que apoyen la atención basada en la comunidad.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EB69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8DCF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se ha encontrado marco legal que regule la participación de voluntarios internacionales en instituciones y actividades en las que hay NNA presentes.</w:t>
            </w:r>
          </w:p>
          <w:p w14:paraId="53D612DE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48FED58" w14:textId="569EB23A" w:rsidR="006B3617" w:rsidRPr="003473D9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yellow"/>
                <w:lang w:val="es-CR"/>
              </w:rPr>
            </w:pPr>
            <w:r>
              <w:rPr>
                <w:rFonts w:ascii="Calibri" w:eastAsia="Calibri" w:hAnsi="Calibri" w:cs="Calibri"/>
              </w:rPr>
              <w:t>Sin embargo, la Ley Nº6060 que regula el voluntariado establece los derechos y deberes de la persona voluntaria, nacional, extranjera o mixta, incluyendo la obligación de respetar los derechos de los beneficiarios de su actividad voluntaria.</w:t>
            </w:r>
          </w:p>
        </w:tc>
      </w:tr>
      <w:tr w:rsidR="006B3617" w:rsidRPr="00920682" w14:paraId="700232CA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C1E4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1F48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Ratificar y aplicar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>los instrumentos regionales e internacionales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pertinentes relacionados con los </w:t>
            </w:r>
          </w:p>
          <w:p w14:paraId="1FADEFEB" w14:textId="1172FC6E" w:rsidR="006B3617" w:rsidRPr="007B4101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>derechos del niño y la explotación sexual de niñas, niños y adolescentes.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C4AA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71D4" w14:textId="77777777" w:rsidR="0035689D" w:rsidRDefault="0035689D" w:rsidP="0035689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Convención sobre los Derechos del Niño (CDN) - Ratificado en 1990</w:t>
            </w:r>
          </w:p>
          <w:p w14:paraId="0D9EAF14" w14:textId="77777777" w:rsidR="0035689D" w:rsidRDefault="0035689D" w:rsidP="0035689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Protocolo facultativo de la Convención sobre los Derechos del Niño relativo a la venta de niños, la prostitución infantil y la utilización de niños en la pornografía - Ratificado en 2003</w:t>
            </w:r>
          </w:p>
          <w:p w14:paraId="1BAF5CAC" w14:textId="77777777" w:rsidR="0035689D" w:rsidRDefault="0035689D" w:rsidP="0035689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Protocolo facultativo de la Convención sobre los Derechos del Niño relativo a un procedimiento de comunicaciones (OP3 CDN) - Ratificado en 2017</w:t>
            </w:r>
          </w:p>
          <w:p w14:paraId="3182F41F" w14:textId="77777777" w:rsidR="0035689D" w:rsidRDefault="0035689D" w:rsidP="0035689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Protocolo de las Naciones Unidas para prevenir, reprimir y sancionar la trata de personas, en especial de mujeres y niños - Ratificado en 2004</w:t>
            </w:r>
          </w:p>
          <w:p w14:paraId="07DC279A" w14:textId="77777777" w:rsidR="0035689D" w:rsidRDefault="0035689D" w:rsidP="0035689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Convenio No 182 de la OIT sobre la prohibición de las peores formas de trabajo infantil y la acción inmediata para su eliminación - </w:t>
            </w:r>
            <w:r>
              <w:rPr>
                <w:rFonts w:ascii="Calibri" w:eastAsia="Calibri" w:hAnsi="Calibri" w:cs="Calibri"/>
              </w:rPr>
              <w:lastRenderedPageBreak/>
              <w:t>Ratificado en 2001</w:t>
            </w:r>
          </w:p>
          <w:p w14:paraId="23E7E65C" w14:textId="77777777" w:rsidR="0035689D" w:rsidRDefault="0035689D" w:rsidP="0035689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Convenio del Consejo de Europa sobre la ciberdelincuencia (Convenio de Budapest) - Ratificado en 2018</w:t>
            </w:r>
          </w:p>
          <w:p w14:paraId="127D1FBB" w14:textId="77777777" w:rsidR="0035689D" w:rsidRDefault="0035689D" w:rsidP="0035689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Convención Iberoamericana de Derechos de los Jóvenes - </w:t>
            </w:r>
            <w:r>
              <w:rPr>
                <w:rFonts w:ascii="Calibri" w:eastAsia="Calibri" w:hAnsi="Calibri" w:cs="Calibri"/>
                <w:color w:val="FF0000"/>
              </w:rPr>
              <w:t>No ratificado</w:t>
            </w:r>
          </w:p>
          <w:p w14:paraId="65370746" w14:textId="77777777" w:rsidR="0035689D" w:rsidRDefault="0035689D" w:rsidP="0035689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Protocolo Adicional de la Convención Iberoamericana de Derechos de los Jóvenes, el Pacto Iberoamericano de Juventud - </w:t>
            </w:r>
            <w:r>
              <w:rPr>
                <w:rFonts w:ascii="Calibri" w:eastAsia="Calibri" w:hAnsi="Calibri" w:cs="Calibri"/>
                <w:color w:val="FF0000"/>
              </w:rPr>
              <w:t>No ratificado</w:t>
            </w:r>
          </w:p>
          <w:p w14:paraId="0B1EE711" w14:textId="77777777" w:rsidR="0035689D" w:rsidRDefault="0035689D" w:rsidP="0035689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Convención Interamericana sobre Tráfico Internacional de Menores (1994) - Ratificado en 1998</w:t>
            </w:r>
          </w:p>
          <w:p w14:paraId="3B933A76" w14:textId="77777777" w:rsidR="0035689D" w:rsidRDefault="0035689D" w:rsidP="0035689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Convención Interamericana sobre restitución internacional  de menores (1989) - Ratificado en 1996</w:t>
            </w:r>
          </w:p>
          <w:p w14:paraId="2AC20338" w14:textId="1A369F0E" w:rsidR="006B3617" w:rsidRPr="007B4101" w:rsidRDefault="0035689D" w:rsidP="003568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Calibri" w:eastAsia="Calibri" w:hAnsi="Calibri" w:cs="Calibri"/>
              </w:rPr>
              <w:t xml:space="preserve">Convención Marco de la OMT sobre Ética del Turismo - </w:t>
            </w:r>
            <w:r>
              <w:rPr>
                <w:rFonts w:ascii="Calibri" w:eastAsia="Calibri" w:hAnsi="Calibri" w:cs="Calibri"/>
                <w:color w:val="FF0000"/>
              </w:rPr>
              <w:t>No ratificado</w:t>
            </w:r>
          </w:p>
        </w:tc>
      </w:tr>
      <w:tr w:rsidR="006B3617" w:rsidRPr="00920682" w14:paraId="1435E27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591C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4609" w14:textId="63845AB0" w:rsidR="006B3617" w:rsidRPr="007B4101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Establecer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>medidas de protección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para niñas, niños y adolescentes víctimas en cualquier etapa del proceso judicial contra el presunto delincuente.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B051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2632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Código de la Niñez y Adolescencia, en su artículo 37, establece el Sistema Nacional de Protección y Promo­ción Integral a la Niñez y Adolescencia competente para preparar y supervisar la ejecución de la política nacional destinada a garantizar la plena vigencia de los derechos del niño y del adolescente. El Código se aplica a todos los niños y adolescentes, nacionales como no nacionales (artículo 1).</w:t>
            </w:r>
          </w:p>
          <w:p w14:paraId="7C9F1B5C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F1ADA50" w14:textId="7EE99865" w:rsidR="006B3617" w:rsidRPr="00C8327E" w:rsidRDefault="0035689D" w:rsidP="00356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Además, la Ley Integral contra la Trata de Personas establece una protección y asistencia total para las víctimas. El artículo 36 reconoce los derechos de la NNA víctima y una protección total durante el procedimiento jurídico. La Ley se aplica a no nacionales como nacionales (artículo 2).</w:t>
            </w:r>
          </w:p>
        </w:tc>
      </w:tr>
      <w:tr w:rsidR="006B3617" w:rsidRPr="00920682" w14:paraId="38EC7804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B9EE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809F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Establecer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>prácticas de entrevistas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>adaptadas a niñas, niños y adolescentes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por parte de policías </w:t>
            </w:r>
          </w:p>
          <w:p w14:paraId="4512E356" w14:textId="130321FD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D96FA7">
              <w:rPr>
                <w:rFonts w:ascii="Calibri" w:eastAsia="Calibri" w:hAnsi="Calibri" w:cs="Calibri"/>
              </w:rPr>
              <w:t>capacitados profesionalmente.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2819" w14:textId="5D9EBC71" w:rsidR="006B3617" w:rsidRDefault="001458BC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50D2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Ley Integral contra la Trata de Personas establece en su artículo 36 que en el caso de NNA víctimas o testigos, las entrevistas, los exámenes y otros tipos de investigaciones estarán a caigo de profesionales especializados, y se realizarán en un entorno adecuado y en un idioma que el niño, niña o adolescente utilice y comprenda y en presencia de sus padres, su tutor legal o una persona de apoyo.</w:t>
            </w:r>
          </w:p>
          <w:p w14:paraId="473F5AA0" w14:textId="77777777" w:rsidR="0035689D" w:rsidRDefault="0035689D" w:rsidP="00356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Ley se aplica a no nacionales como nacionales (artículo 2).</w:t>
            </w:r>
          </w:p>
          <w:p w14:paraId="4B1FA5E2" w14:textId="77777777" w:rsidR="0035689D" w:rsidRDefault="0035689D" w:rsidP="00356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BC39309" w14:textId="4315E97C" w:rsidR="005E64E6" w:rsidRPr="00060025" w:rsidRDefault="0035689D" w:rsidP="00356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  <w:lang w:val="es-CR"/>
              </w:rPr>
              <w:t>En Paraguay se cuenta con cámaras Gessel, las cuales permiten que NNA sean entrevistados por un equipo multidisciplinario para evitar la revictimización.</w:t>
            </w:r>
            <w:r w:rsidR="00060025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6B3617" w:rsidRPr="00920682" w14:paraId="2A0DFDA3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10AF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21.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EFBC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b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Asegurar que la legislación nacional otorgue a niñas, niños y adolescentes víctimas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 xml:space="preserve">el derecho a </w:t>
            </w:r>
          </w:p>
          <w:p w14:paraId="3D1E049B" w14:textId="7F96E053" w:rsidR="006B3617" w:rsidRPr="007B4101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b/>
                <w:lang w:val="es-CR"/>
              </w:rPr>
              <w:t>recibir apoyo en su recuperación y rehabilitación</w:t>
            </w:r>
            <w:r w:rsidRPr="007B4101">
              <w:rPr>
                <w:rFonts w:ascii="Calibri" w:eastAsia="Calibri" w:hAnsi="Calibri" w:cs="Calibri"/>
                <w:lang w:val="es-CR"/>
              </w:rPr>
              <w:t>, incluido el acceso a los servicios de reintegración.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91E3" w14:textId="320C5855" w:rsidR="006B3617" w:rsidRDefault="0035689D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4EC8" w14:textId="4AE1A93F" w:rsidR="006B3617" w:rsidRPr="007B4101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El Código de la Niñez y Adolescencia, en sus artículo 13, 15 y 34 establece un derecho a la recuperación de la salud, el acceso a programas de salud pública y el acceso a medidas de protección y apoyo personalizados incluyendo la incorporación del niño en un establecimiento de educación escolar básica, la obligación de asisten­cia y el acceso a un tratamiento médico y psicológico.</w:t>
            </w:r>
          </w:p>
        </w:tc>
      </w:tr>
      <w:tr w:rsidR="006B3617" w:rsidRPr="00920682" w14:paraId="5EC062E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2BC8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9601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Establecer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 xml:space="preserve">un mecanismo nacional de denuncia 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(por ejemplo, una línea directa) que coordine el </w:t>
            </w:r>
          </w:p>
          <w:p w14:paraId="063FA47F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acceso a los servicios y ayude a superar la renuencia a denunciar la explotación sexual de niñas, </w:t>
            </w:r>
          </w:p>
          <w:p w14:paraId="1B448222" w14:textId="529640A0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D96FA7">
              <w:rPr>
                <w:rFonts w:ascii="Calibri" w:eastAsia="Calibri" w:hAnsi="Calibri" w:cs="Calibri"/>
              </w:rPr>
              <w:t>niños y adolescentes.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0A2D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32D9" w14:textId="7BFFBC4A" w:rsidR="006B3617" w:rsidRPr="00C8327E" w:rsidRDefault="0035689D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En Paraguay existe una línea telefónica gratuita 24h/24 (147) para atender las denuncias, también especializada en brindar orientación psicológica, social y legal en casos de maltrato, abuso sexual, explotación sexual y laboral así como otras vulneraciones de derechos de la NNA.</w:t>
            </w:r>
          </w:p>
        </w:tc>
      </w:tr>
      <w:tr w:rsidR="006B3617" w14:paraId="018D1366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4157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3E02" w14:textId="77777777" w:rsidR="006B3617" w:rsidRPr="00214A3C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214A3C">
              <w:rPr>
                <w:rFonts w:ascii="Calibri" w:eastAsia="Calibri" w:hAnsi="Calibri" w:cs="Calibri"/>
                <w:lang w:val="es-CR"/>
              </w:rPr>
              <w:t xml:space="preserve">Crear leyes, reglamentos y procedimientos de </w:t>
            </w:r>
            <w:r w:rsidRPr="00214A3C">
              <w:rPr>
                <w:rFonts w:ascii="Calibri" w:eastAsia="Calibri" w:hAnsi="Calibri" w:cs="Calibri"/>
                <w:b/>
                <w:lang w:val="es-CR"/>
              </w:rPr>
              <w:t xml:space="preserve">retención y preservación de datos </w:t>
            </w:r>
            <w:r w:rsidRPr="00214A3C">
              <w:rPr>
                <w:rFonts w:ascii="Calibri" w:eastAsia="Calibri" w:hAnsi="Calibri" w:cs="Calibri"/>
                <w:lang w:val="es-CR"/>
              </w:rPr>
              <w:t xml:space="preserve">para asegurar la retención y preservación de evidencia digital y permitir la cooperación con las fuerzas del orden </w:t>
            </w:r>
          </w:p>
          <w:p w14:paraId="4817C91D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que se aplica a los ISP, empresas de telefonía móvil, empresas de comunicación y redes sociales </w:t>
            </w:r>
          </w:p>
          <w:p w14:paraId="199A5F07" w14:textId="538B3713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digitales, empresas de almacenamiento en la nube, con sede en / operando en jurisdicción nacional.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60C4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1525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B3617" w:rsidRPr="00920682" w14:paraId="7957AD4E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D359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  <w:p w14:paraId="2511C604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3FB0" w14:textId="77777777" w:rsidR="006B3617" w:rsidRPr="00214A3C" w:rsidRDefault="006B3617" w:rsidP="006B3617">
            <w:pPr>
              <w:spacing w:line="240" w:lineRule="auto"/>
              <w:rPr>
                <w:rFonts w:ascii="Calibri" w:eastAsia="Calibri" w:hAnsi="Calibri" w:cs="Calibri"/>
                <w:b/>
                <w:lang w:val="es-CR"/>
              </w:rPr>
            </w:pPr>
            <w:r w:rsidRPr="00214A3C">
              <w:rPr>
                <w:rFonts w:ascii="Calibri" w:eastAsia="Calibri" w:hAnsi="Calibri" w:cs="Calibri"/>
                <w:lang w:val="es-CR"/>
              </w:rPr>
              <w:t xml:space="preserve">Garantizar que la legislación nacional establezca </w:t>
            </w:r>
            <w:r w:rsidRPr="00214A3C">
              <w:rPr>
                <w:rFonts w:ascii="Calibri" w:eastAsia="Calibri" w:hAnsi="Calibri" w:cs="Calibri"/>
                <w:b/>
                <w:lang w:val="es-CR"/>
              </w:rPr>
              <w:t xml:space="preserve">el derecho para todos niñas, niños y adolescentes </w:t>
            </w:r>
          </w:p>
          <w:p w14:paraId="52170FAA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b/>
                <w:lang w:val="es-CR"/>
              </w:rPr>
              <w:t>víctimas de explotación sexual a solicitar una indemnización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 en los tribunales nacionales de los </w:t>
            </w:r>
          </w:p>
          <w:p w14:paraId="35E64DC6" w14:textId="59C0C698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culpables condenados que les hayan hecho daño y / o mediante fondos administrados por el Estado.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7D9B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6357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Ley Integral contra la Trata de Personas establece en su artículo 17 establece un sistema de indemnización de las víctimas de la trata de personas.</w:t>
            </w:r>
          </w:p>
          <w:p w14:paraId="61E0C6A9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Ley se aplica a no nacionales como nacionales (artículo 2).</w:t>
            </w:r>
          </w:p>
          <w:p w14:paraId="07323B3B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D170740" w14:textId="77777777" w:rsidR="0035689D" w:rsidRDefault="0035689D" w:rsidP="0035689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Además, el Código Procesal Penal, en sus artículos 439 a 448, define el procedimiento para la reparación del daño o la indemnización correspondiente que podrá ser solicitada por el querellante o el Ministerio Público.</w:t>
            </w:r>
          </w:p>
          <w:p w14:paraId="14D98F35" w14:textId="06CA36CF" w:rsidR="006B3617" w:rsidRPr="00214A3C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</w:tr>
    </w:tbl>
    <w:p w14:paraId="33A08D5C" w14:textId="77777777" w:rsidR="007B6F44" w:rsidRPr="00214A3C" w:rsidRDefault="007B6F44">
      <w:pPr>
        <w:rPr>
          <w:rFonts w:ascii="Calibri" w:eastAsia="Calibri" w:hAnsi="Calibri" w:cs="Calibri"/>
          <w:lang w:val="es-CR"/>
        </w:rPr>
      </w:pPr>
    </w:p>
    <w:p w14:paraId="315BDE5C" w14:textId="307D7310" w:rsidR="007B6F44" w:rsidRPr="00214A3C" w:rsidRDefault="007B6F44">
      <w:pPr>
        <w:jc w:val="center"/>
        <w:rPr>
          <w:rFonts w:ascii="Calibri" w:eastAsia="Calibri" w:hAnsi="Calibri" w:cs="Calibri"/>
          <w:b/>
          <w:lang w:val="es-CR"/>
        </w:rPr>
      </w:pPr>
    </w:p>
    <w:p w14:paraId="4EFD0905" w14:textId="77777777" w:rsidR="0035689D" w:rsidRDefault="0035689D" w:rsidP="0035689D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Paraguay - Legislación </w:t>
      </w:r>
    </w:p>
    <w:p w14:paraId="5C4FDD15" w14:textId="77777777" w:rsidR="0035689D" w:rsidRDefault="0035689D" w:rsidP="0035689D">
      <w:pPr>
        <w:spacing w:line="240" w:lineRule="auto"/>
        <w:rPr>
          <w:rFonts w:ascii="Calibri" w:eastAsia="Calibri" w:hAnsi="Calibri" w:cs="Calibri"/>
        </w:rPr>
      </w:pPr>
    </w:p>
    <w:p w14:paraId="7EE1476A" w14:textId="55340D1C" w:rsidR="0035689D" w:rsidRDefault="001458BC" w:rsidP="0035689D">
      <w:pPr>
        <w:spacing w:line="240" w:lineRule="auto"/>
        <w:rPr>
          <w:rFonts w:ascii="Calibri" w:eastAsia="Calibri" w:hAnsi="Calibri" w:cs="Calibri"/>
        </w:rPr>
      </w:pPr>
      <w:hyperlink r:id="rId13" w:history="1">
        <w:r w:rsidR="0035689D" w:rsidRPr="0035689D">
          <w:rPr>
            <w:rStyle w:val="Hyperlink"/>
            <w:rFonts w:ascii="Calibri" w:eastAsia="Calibri" w:hAnsi="Calibri" w:cs="Calibri"/>
          </w:rPr>
          <w:t>Código Penal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237DB714" w14:textId="77777777" w:rsidR="0035689D" w:rsidRDefault="0035689D" w:rsidP="0035689D">
      <w:pPr>
        <w:spacing w:line="240" w:lineRule="auto"/>
        <w:rPr>
          <w:rFonts w:ascii="Calibri" w:eastAsia="Calibri" w:hAnsi="Calibri" w:cs="Calibri"/>
        </w:rPr>
      </w:pPr>
    </w:p>
    <w:p w14:paraId="28E540A0" w14:textId="0C4B9D9B" w:rsidR="0035689D" w:rsidRDefault="001458BC" w:rsidP="0035689D">
      <w:pPr>
        <w:spacing w:line="240" w:lineRule="auto"/>
        <w:rPr>
          <w:rFonts w:ascii="Calibri" w:eastAsia="Calibri" w:hAnsi="Calibri" w:cs="Calibri"/>
          <w:shd w:val="clear" w:color="auto" w:fill="FFF2CC"/>
        </w:rPr>
      </w:pPr>
      <w:hyperlink r:id="rId14" w:history="1">
        <w:r w:rsidR="0035689D" w:rsidRPr="0035689D">
          <w:rPr>
            <w:rStyle w:val="Hyperlink"/>
            <w:rFonts w:ascii="Calibri" w:eastAsia="Calibri" w:hAnsi="Calibri" w:cs="Calibri"/>
          </w:rPr>
          <w:t>LEY Nº 3.440/08 QUE MODIFICA VARIAS DISPOSICIONES DE LA LEY N° 1.160/97, CÓDIGO PENAL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7DED031A" w14:textId="77777777" w:rsidR="0035689D" w:rsidRDefault="0035689D" w:rsidP="0035689D">
      <w:pPr>
        <w:spacing w:line="240" w:lineRule="auto"/>
        <w:rPr>
          <w:rFonts w:ascii="Calibri" w:eastAsia="Calibri" w:hAnsi="Calibri" w:cs="Calibri"/>
        </w:rPr>
      </w:pPr>
    </w:p>
    <w:p w14:paraId="089CF981" w14:textId="18DB6C33" w:rsidR="0035689D" w:rsidRDefault="001458BC" w:rsidP="0035689D">
      <w:pPr>
        <w:spacing w:line="240" w:lineRule="auto"/>
        <w:rPr>
          <w:rFonts w:ascii="Calibri" w:eastAsia="Calibri" w:hAnsi="Calibri" w:cs="Calibri"/>
        </w:rPr>
      </w:pPr>
      <w:hyperlink r:id="rId15" w:history="1">
        <w:r w:rsidR="0035689D" w:rsidRPr="0035689D">
          <w:rPr>
            <w:rStyle w:val="Hyperlink"/>
            <w:rFonts w:ascii="Calibri" w:eastAsia="Calibri" w:hAnsi="Calibri" w:cs="Calibri"/>
          </w:rPr>
          <w:t>Código de Ejecución Penal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091C837D" w14:textId="77777777" w:rsidR="0035689D" w:rsidRDefault="0035689D" w:rsidP="0035689D">
      <w:pPr>
        <w:spacing w:line="240" w:lineRule="auto"/>
        <w:rPr>
          <w:rFonts w:ascii="Calibri" w:eastAsia="Calibri" w:hAnsi="Calibri" w:cs="Calibri"/>
        </w:rPr>
      </w:pPr>
    </w:p>
    <w:p w14:paraId="25ECF9AD" w14:textId="7CE2067A" w:rsidR="0035689D" w:rsidRDefault="001458BC" w:rsidP="0035689D">
      <w:pPr>
        <w:spacing w:line="240" w:lineRule="auto"/>
        <w:rPr>
          <w:rFonts w:ascii="Calibri" w:eastAsia="Calibri" w:hAnsi="Calibri" w:cs="Calibri"/>
        </w:rPr>
      </w:pPr>
      <w:hyperlink r:id="rId16" w:history="1">
        <w:r w:rsidR="0035689D" w:rsidRPr="0035689D">
          <w:rPr>
            <w:rStyle w:val="Hyperlink"/>
            <w:rFonts w:ascii="Calibri" w:eastAsia="Calibri" w:hAnsi="Calibri" w:cs="Calibri"/>
          </w:rPr>
          <w:t>Código Procesal Penal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0F331C38" w14:textId="77777777" w:rsidR="0035689D" w:rsidRDefault="0035689D" w:rsidP="0035689D">
      <w:pPr>
        <w:spacing w:line="240" w:lineRule="auto"/>
        <w:rPr>
          <w:rFonts w:ascii="Calibri" w:eastAsia="Calibri" w:hAnsi="Calibri" w:cs="Calibri"/>
        </w:rPr>
      </w:pPr>
    </w:p>
    <w:p w14:paraId="36CE56ED" w14:textId="69FB9EC4" w:rsidR="0035689D" w:rsidRDefault="001458BC" w:rsidP="0035689D">
      <w:pPr>
        <w:spacing w:line="240" w:lineRule="auto"/>
        <w:rPr>
          <w:rFonts w:ascii="Calibri" w:eastAsia="Calibri" w:hAnsi="Calibri" w:cs="Calibri"/>
        </w:rPr>
      </w:pPr>
      <w:hyperlink r:id="rId17" w:history="1">
        <w:r w:rsidR="0035689D" w:rsidRPr="0035689D">
          <w:rPr>
            <w:rStyle w:val="Hyperlink"/>
            <w:rFonts w:ascii="Calibri" w:eastAsia="Calibri" w:hAnsi="Calibri" w:cs="Calibri"/>
          </w:rPr>
          <w:t>Código de la Niñez y la Adolescencia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24E99FFC" w14:textId="77777777" w:rsidR="0035689D" w:rsidRDefault="0035689D" w:rsidP="0035689D">
      <w:pPr>
        <w:spacing w:line="240" w:lineRule="auto"/>
        <w:rPr>
          <w:rFonts w:ascii="Calibri" w:eastAsia="Calibri" w:hAnsi="Calibri" w:cs="Calibri"/>
        </w:rPr>
      </w:pPr>
    </w:p>
    <w:p w14:paraId="31AB50E0" w14:textId="15AB1491" w:rsidR="0035689D" w:rsidRDefault="001458BC" w:rsidP="0035689D">
      <w:pPr>
        <w:widowControl w:val="0"/>
        <w:spacing w:line="240" w:lineRule="auto"/>
        <w:rPr>
          <w:rFonts w:ascii="Calibri" w:eastAsia="Calibri" w:hAnsi="Calibri" w:cs="Calibri"/>
        </w:rPr>
      </w:pPr>
      <w:hyperlink r:id="rId18" w:history="1">
        <w:r w:rsidR="0035689D" w:rsidRPr="0035689D">
          <w:rPr>
            <w:rStyle w:val="Hyperlink"/>
            <w:rFonts w:ascii="Calibri" w:eastAsia="Calibri" w:hAnsi="Calibri" w:cs="Calibri"/>
          </w:rPr>
          <w:t>Ley N° 2169/2003 Ley que establece la mayoría de edad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144A8269" w14:textId="77777777" w:rsidR="0035689D" w:rsidRDefault="0035689D" w:rsidP="0035689D">
      <w:pPr>
        <w:spacing w:line="240" w:lineRule="auto"/>
        <w:rPr>
          <w:rFonts w:ascii="Calibri" w:eastAsia="Calibri" w:hAnsi="Calibri" w:cs="Calibri"/>
        </w:rPr>
      </w:pPr>
    </w:p>
    <w:p w14:paraId="0979B23E" w14:textId="7EB7C5FA" w:rsidR="0035689D" w:rsidRDefault="001458BC" w:rsidP="0035689D">
      <w:pPr>
        <w:spacing w:line="240" w:lineRule="auto"/>
        <w:rPr>
          <w:rFonts w:ascii="Calibri" w:eastAsia="Calibri" w:hAnsi="Calibri" w:cs="Calibri"/>
        </w:rPr>
      </w:pPr>
      <w:hyperlink r:id="rId19" w:history="1">
        <w:r w:rsidR="0035689D" w:rsidRPr="0035689D">
          <w:rPr>
            <w:rStyle w:val="Hyperlink"/>
            <w:rFonts w:ascii="Calibri" w:eastAsia="Calibri" w:hAnsi="Calibri" w:cs="Calibri"/>
          </w:rPr>
          <w:t>Ley de Protección De Niños, Niñas Y Adolescentes contra contenidos Nocivos de Internet Ley N°5653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1CB79B90" w14:textId="77777777" w:rsidR="0035689D" w:rsidRDefault="0035689D" w:rsidP="0035689D">
      <w:pPr>
        <w:spacing w:line="240" w:lineRule="auto"/>
        <w:rPr>
          <w:rFonts w:ascii="Calibri" w:eastAsia="Calibri" w:hAnsi="Calibri" w:cs="Calibri"/>
        </w:rPr>
      </w:pPr>
    </w:p>
    <w:p w14:paraId="4AD7AF24" w14:textId="2E2D2BFA" w:rsidR="0035689D" w:rsidRDefault="001458BC" w:rsidP="0035689D">
      <w:pPr>
        <w:spacing w:line="240" w:lineRule="auto"/>
        <w:rPr>
          <w:rFonts w:ascii="Calibri" w:eastAsia="Calibri" w:hAnsi="Calibri" w:cs="Calibri"/>
        </w:rPr>
      </w:pPr>
      <w:hyperlink r:id="rId20" w:history="1">
        <w:r w:rsidR="0035689D" w:rsidRPr="0035689D">
          <w:rPr>
            <w:rStyle w:val="Hyperlink"/>
            <w:rFonts w:ascii="Calibri" w:eastAsia="Calibri" w:hAnsi="Calibri" w:cs="Calibri"/>
          </w:rPr>
          <w:t>Constitución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4F66CB06" w14:textId="77777777" w:rsidR="0035689D" w:rsidRDefault="0035689D" w:rsidP="0035689D">
      <w:pPr>
        <w:spacing w:line="240" w:lineRule="auto"/>
        <w:rPr>
          <w:rFonts w:ascii="Calibri" w:eastAsia="Calibri" w:hAnsi="Calibri" w:cs="Calibri"/>
        </w:rPr>
      </w:pPr>
    </w:p>
    <w:p w14:paraId="358781F1" w14:textId="5B0B1726" w:rsidR="0035689D" w:rsidRDefault="001458BC" w:rsidP="0035689D">
      <w:pPr>
        <w:spacing w:line="240" w:lineRule="auto"/>
        <w:rPr>
          <w:rFonts w:ascii="Calibri" w:eastAsia="Calibri" w:hAnsi="Calibri" w:cs="Calibri"/>
        </w:rPr>
      </w:pPr>
      <w:hyperlink r:id="rId21" w:history="1">
        <w:r w:rsidR="0035689D" w:rsidRPr="0035689D">
          <w:rPr>
            <w:rStyle w:val="Hyperlink"/>
            <w:rFonts w:ascii="Calibri" w:eastAsia="Calibri" w:hAnsi="Calibri" w:cs="Calibri"/>
          </w:rPr>
          <w:t>Ley Integral Contra la Trata de Personas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2A90CF72" w14:textId="77777777" w:rsidR="0035689D" w:rsidRDefault="0035689D" w:rsidP="0035689D">
      <w:pPr>
        <w:spacing w:line="240" w:lineRule="auto"/>
        <w:rPr>
          <w:rFonts w:ascii="Calibri" w:eastAsia="Calibri" w:hAnsi="Calibri" w:cs="Calibri"/>
        </w:rPr>
      </w:pPr>
    </w:p>
    <w:p w14:paraId="10731A8A" w14:textId="3C10686E" w:rsidR="0035689D" w:rsidRDefault="001458BC" w:rsidP="0035689D">
      <w:pPr>
        <w:shd w:val="clear" w:color="auto" w:fill="FFFFFF"/>
        <w:spacing w:before="160" w:after="300" w:line="240" w:lineRule="auto"/>
        <w:ind w:right="600"/>
        <w:rPr>
          <w:rFonts w:ascii="Calibri" w:eastAsia="Calibri" w:hAnsi="Calibri" w:cs="Calibri"/>
        </w:rPr>
      </w:pPr>
      <w:hyperlink r:id="rId22" w:history="1">
        <w:r w:rsidR="0035689D" w:rsidRPr="0035689D">
          <w:rPr>
            <w:rStyle w:val="Hyperlink"/>
            <w:rFonts w:ascii="Calibri" w:eastAsia="Calibri" w:hAnsi="Calibri" w:cs="Calibri"/>
          </w:rPr>
          <w:t>Ley Nº6060 que regula el voluntariado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2ACDD69B" w14:textId="73E1389B" w:rsidR="0035689D" w:rsidRDefault="001458BC" w:rsidP="0035689D">
      <w:pPr>
        <w:shd w:val="clear" w:color="auto" w:fill="FFFFFF"/>
        <w:spacing w:after="300" w:line="240" w:lineRule="auto"/>
        <w:rPr>
          <w:rFonts w:ascii="Calibri" w:eastAsia="Calibri" w:hAnsi="Calibri" w:cs="Calibri"/>
        </w:rPr>
      </w:pPr>
      <w:hyperlink r:id="rId23" w:history="1">
        <w:r w:rsidR="0035689D" w:rsidRPr="0035689D">
          <w:rPr>
            <w:rStyle w:val="Hyperlink"/>
            <w:rFonts w:ascii="Calibri" w:eastAsia="Calibri" w:hAnsi="Calibri" w:cs="Calibri"/>
          </w:rPr>
          <w:t>Ley de Migraciones</w:t>
        </w:r>
      </w:hyperlink>
      <w:r w:rsidR="0035689D">
        <w:rPr>
          <w:rFonts w:ascii="Calibri" w:eastAsia="Calibri" w:hAnsi="Calibri" w:cs="Calibri"/>
        </w:rPr>
        <w:t xml:space="preserve"> </w:t>
      </w:r>
    </w:p>
    <w:p w14:paraId="1EA1488B" w14:textId="0570AF2D" w:rsidR="007B6F44" w:rsidRPr="00214A3C" w:rsidRDefault="007B6F44" w:rsidP="0035689D">
      <w:pPr>
        <w:jc w:val="center"/>
        <w:rPr>
          <w:rFonts w:ascii="Calibri" w:eastAsia="Calibri" w:hAnsi="Calibri" w:cs="Calibri"/>
          <w:lang w:val="es-CR"/>
        </w:rPr>
      </w:pPr>
    </w:p>
    <w:sectPr w:rsidR="007B6F44" w:rsidRPr="00214A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364"/>
    <w:multiLevelType w:val="multilevel"/>
    <w:tmpl w:val="B02E46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36539C0"/>
    <w:multiLevelType w:val="multilevel"/>
    <w:tmpl w:val="7BFE2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5C428E"/>
    <w:multiLevelType w:val="multilevel"/>
    <w:tmpl w:val="E6001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5C1D49"/>
    <w:multiLevelType w:val="multilevel"/>
    <w:tmpl w:val="4BCC4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933C07"/>
    <w:multiLevelType w:val="multilevel"/>
    <w:tmpl w:val="0E229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5463529">
    <w:abstractNumId w:val="4"/>
  </w:num>
  <w:num w:numId="2" w16cid:durableId="219365202">
    <w:abstractNumId w:val="3"/>
  </w:num>
  <w:num w:numId="3" w16cid:durableId="1181819841">
    <w:abstractNumId w:val="0"/>
  </w:num>
  <w:num w:numId="4" w16cid:durableId="1803577858">
    <w:abstractNumId w:val="2"/>
  </w:num>
  <w:num w:numId="5" w16cid:durableId="79109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44"/>
    <w:rsid w:val="00060025"/>
    <w:rsid w:val="001458BC"/>
    <w:rsid w:val="00214A3C"/>
    <w:rsid w:val="00306FAF"/>
    <w:rsid w:val="003473D9"/>
    <w:rsid w:val="0035689D"/>
    <w:rsid w:val="005B6BEE"/>
    <w:rsid w:val="005E64E6"/>
    <w:rsid w:val="006B3617"/>
    <w:rsid w:val="007557BA"/>
    <w:rsid w:val="007B4101"/>
    <w:rsid w:val="007B6F44"/>
    <w:rsid w:val="00853DE5"/>
    <w:rsid w:val="009137A4"/>
    <w:rsid w:val="00920682"/>
    <w:rsid w:val="00934C77"/>
    <w:rsid w:val="00A57FF2"/>
    <w:rsid w:val="00B10E6F"/>
    <w:rsid w:val="00C8327E"/>
    <w:rsid w:val="00CC4EA1"/>
    <w:rsid w:val="00D63867"/>
    <w:rsid w:val="00DC5AE3"/>
    <w:rsid w:val="00E30EF8"/>
    <w:rsid w:val="00E727AB"/>
    <w:rsid w:val="00F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2FDA"/>
  <w15:docId w15:val="{78DD9AF7-3E58-410E-AB36-EE12CCCD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7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C2E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727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as.org/dil/esp/Codigo_Penal_Paraguay.pdf" TargetMode="External"/><Relationship Id="rId18" Type="http://schemas.openxmlformats.org/officeDocument/2006/relationships/hyperlink" Target="https://www.bacn.gov.py/leyes-paraguayas/4845/establece-la-mayoria-de-edad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oig.cepal.org/sites/default/files/2012_pry_ley4788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cpat.org/wp-content/uploads/2021/09/Assesment-Matrix_2021SEP_SPA_v2.pdf" TargetMode="External"/><Relationship Id="rId17" Type="http://schemas.openxmlformats.org/officeDocument/2006/relationships/hyperlink" Target="https://www.oas.org/dil/esp/Ley_de_Adopcion_Paraguay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eb.oas.org/mla/en/Countries_Intro/Parag_intro_textfun_esp_6.pdf" TargetMode="External"/><Relationship Id="rId20" Type="http://schemas.openxmlformats.org/officeDocument/2006/relationships/hyperlink" Target="https://www.oas.org/juridico/spanish/par_res3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pat.org/wp-content/uploads/2021/08/SECTT-Lista-de-verficacion_SP_Nota-explicativa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dp.gov.py/application/files/9714/3748/7317/codigo-ejecucion-penal.pdf" TargetMode="External"/><Relationship Id="rId23" Type="http://schemas.openxmlformats.org/officeDocument/2006/relationships/hyperlink" Target="https://www.oas.org/dil/esp/Ley_de_Migraciones_Paraguay.pdf" TargetMode="External"/><Relationship Id="rId10" Type="http://schemas.openxmlformats.org/officeDocument/2006/relationships/hyperlink" Target="https://ecpat.org/wp-content/uploads/2021/08/Offender-on-the-Move_SPA_2018APR30_v5.pdf" TargetMode="External"/><Relationship Id="rId19" Type="http://schemas.openxmlformats.org/officeDocument/2006/relationships/hyperlink" Target="https://www.bacn.gov.py/archivos/5167/2016092908165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ecpat.org/wp-content/uploads/2021/10/SECTT-Checklist_SPA.pdf" TargetMode="External"/><Relationship Id="rId14" Type="http://schemas.openxmlformats.org/officeDocument/2006/relationships/hyperlink" Target="https://www.pj.gov.py/images/contenido/ddpi/leyes/ley-3440-2008-que-modifica-el-codigo-penal.pdf" TargetMode="External"/><Relationship Id="rId22" Type="http://schemas.openxmlformats.org/officeDocument/2006/relationships/hyperlink" Target="https://www.bacn.gov.py/leyes-paraguayas/8504/ley-n-6060-regula-el-voluntari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EaJiswQWt4QNKk4VGb9KlYtdQ==">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</go:docsCustomData>
</go:gDocsCustomXmlDataStorage>
</file>

<file path=customXml/itemProps1.xml><?xml version="1.0" encoding="utf-8"?>
<ds:datastoreItem xmlns:ds="http://schemas.openxmlformats.org/officeDocument/2006/customXml" ds:itemID="{9A05CA43-667E-D04C-B869-E5EE073E5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2800</Words>
  <Characters>15966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Varrella</dc:creator>
  <cp:lastModifiedBy>McKillop, M. (Mark)</cp:lastModifiedBy>
  <cp:revision>4</cp:revision>
  <dcterms:created xsi:type="dcterms:W3CDTF">2022-05-06T15:30:00Z</dcterms:created>
  <dcterms:modified xsi:type="dcterms:W3CDTF">2022-05-09T20:51:00Z</dcterms:modified>
</cp:coreProperties>
</file>