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2726E" w14:textId="1958F851" w:rsidR="007B6F44" w:rsidRDefault="006B3617">
      <w:pPr>
        <w:rPr>
          <w:rFonts w:ascii="Calibri-Bold" w:hAnsi="Calibri-Bold" w:cs="Calibri-Bold"/>
          <w:b/>
          <w:bCs/>
          <w:color w:val="02436F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AD00001" wp14:editId="68B442D8">
            <wp:simplePos x="0" y="0"/>
            <wp:positionH relativeFrom="margin">
              <wp:posOffset>4601845</wp:posOffset>
            </wp:positionH>
            <wp:positionV relativeFrom="paragraph">
              <wp:posOffset>9525</wp:posOffset>
            </wp:positionV>
            <wp:extent cx="1082675" cy="719455"/>
            <wp:effectExtent l="0" t="0" r="0" b="4445"/>
            <wp:wrapTight wrapText="bothSides">
              <wp:wrapPolygon edited="0">
                <wp:start x="0" y="0"/>
                <wp:lineTo x="0" y="21352"/>
                <wp:lineTo x="21283" y="21352"/>
                <wp:lineTo x="212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color w:val="02436F"/>
          <w:sz w:val="32"/>
          <w:szCs w:val="32"/>
        </w:rPr>
        <w:t>C</w:t>
      </w:r>
      <w:r w:rsidR="00436C0B">
        <w:rPr>
          <w:rFonts w:ascii="Calibri-Bold" w:hAnsi="Calibri-Bold" w:cs="Calibri-Bold"/>
          <w:b/>
          <w:bCs/>
          <w:color w:val="02436F"/>
          <w:sz w:val="32"/>
          <w:szCs w:val="32"/>
        </w:rPr>
        <w:t>hile</w:t>
      </w:r>
      <w:r>
        <w:rPr>
          <w:rFonts w:ascii="Calibri-Bold" w:hAnsi="Calibri-Bold" w:cs="Calibri-Bold"/>
          <w:b/>
          <w:bCs/>
          <w:color w:val="02436F"/>
          <w:sz w:val="32"/>
          <w:szCs w:val="32"/>
        </w:rPr>
        <w:t xml:space="preserve"> </w:t>
      </w:r>
    </w:p>
    <w:p w14:paraId="263AECB8" w14:textId="73421E2E" w:rsidR="006B3617" w:rsidRDefault="006B3617">
      <w:pPr>
        <w:rPr>
          <w:rFonts w:ascii="Calibri-Bold" w:hAnsi="Calibri-Bold" w:cs="Calibri-Bold"/>
          <w:b/>
          <w:bCs/>
          <w:color w:val="02436F"/>
          <w:sz w:val="32"/>
          <w:szCs w:val="32"/>
        </w:rPr>
      </w:pPr>
    </w:p>
    <w:p w14:paraId="7B447720" w14:textId="34416651" w:rsidR="006B3617" w:rsidRDefault="006B3617">
      <w:pPr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inline distT="0" distB="0" distL="0" distR="0" wp14:anchorId="3242261C" wp14:editId="2EBCE088">
            <wp:extent cx="2216150" cy="750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3938" cy="8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EE1E" w14:textId="6D968838" w:rsidR="006B3617" w:rsidRDefault="006B3617">
      <w:pPr>
        <w:rPr>
          <w:rFonts w:ascii="Calibri" w:eastAsia="Calibri" w:hAnsi="Calibri" w:cs="Calibri"/>
        </w:rPr>
      </w:pPr>
    </w:p>
    <w:p w14:paraId="44D0A32D" w14:textId="682BB910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  <w:r w:rsidRPr="00C8327E">
        <w:rPr>
          <w:rFonts w:ascii="Calibri" w:eastAsia="Calibri" w:hAnsi="Calibri" w:cs="Calibri"/>
          <w:lang w:val="es-CR"/>
        </w:rPr>
        <w:t xml:space="preserve">ECPAT International desarrolló </w:t>
      </w:r>
      <w:hyperlink r:id="rId8" w:history="1">
        <w:r w:rsidRPr="00C8327E">
          <w:rPr>
            <w:rFonts w:ascii="Calibri" w:eastAsia="Calibri" w:hAnsi="Calibri" w:cs="Calibri"/>
            <w:color w:val="0000FF" w:themeColor="hyperlink"/>
            <w:u w:val="single"/>
            <w:lang w:val="es-CR"/>
          </w:rPr>
          <w:t>una lista de verificación legal</w:t>
        </w:r>
      </w:hyperlink>
      <w:r w:rsidRPr="00C8327E">
        <w:rPr>
          <w:rFonts w:ascii="Calibri" w:eastAsia="Calibri" w:hAnsi="Calibri" w:cs="Calibri"/>
          <w:lang w:val="es-CR"/>
        </w:rPr>
        <w:t xml:space="preserve"> para los gobiernos que brinda orientación </w:t>
      </w:r>
      <w:r w:rsidR="00C8327E">
        <w:rPr>
          <w:rFonts w:ascii="Calibri" w:eastAsia="Calibri" w:hAnsi="Calibri" w:cs="Calibri"/>
          <w:lang w:val="es-CR"/>
        </w:rPr>
        <w:t>sobre</w:t>
      </w:r>
      <w:r w:rsidRPr="00C8327E">
        <w:rPr>
          <w:rFonts w:ascii="Calibri" w:eastAsia="Calibri" w:hAnsi="Calibri" w:cs="Calibri"/>
          <w:lang w:val="es-CR"/>
        </w:rPr>
        <w:t xml:space="preserve"> las intervenciones legales y las medidas </w:t>
      </w:r>
      <w:r w:rsidR="00C8327E">
        <w:rPr>
          <w:rFonts w:ascii="Calibri" w:eastAsia="Calibri" w:hAnsi="Calibri" w:cs="Calibri"/>
          <w:lang w:val="es-CR"/>
        </w:rPr>
        <w:t>por</w:t>
      </w:r>
      <w:r w:rsidRPr="00C8327E">
        <w:rPr>
          <w:rFonts w:ascii="Calibri" w:eastAsia="Calibri" w:hAnsi="Calibri" w:cs="Calibri"/>
          <w:lang w:val="es-CR"/>
        </w:rPr>
        <w:t xml:space="preserve"> adoptar para mejorar sus marcos legales nacionales </w:t>
      </w:r>
      <w:r w:rsidR="00C8327E">
        <w:rPr>
          <w:rFonts w:ascii="Calibri" w:eastAsia="Calibri" w:hAnsi="Calibri" w:cs="Calibri"/>
          <w:lang w:val="es-CR"/>
        </w:rPr>
        <w:t>y</w:t>
      </w:r>
      <w:r w:rsidRPr="00C8327E">
        <w:rPr>
          <w:rFonts w:ascii="Calibri" w:eastAsia="Calibri" w:hAnsi="Calibri" w:cs="Calibri"/>
          <w:lang w:val="es-CR"/>
        </w:rPr>
        <w:t xml:space="preserve"> abordar de manera más efectiva el delito de explotación sexual de niños, niñas y adolescentes en los viajes y el turismo, junto con sus elementos en línea.</w:t>
      </w:r>
    </w:p>
    <w:p w14:paraId="1310C214" w14:textId="77777777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</w:p>
    <w:p w14:paraId="04F22CBF" w14:textId="33F012E0" w:rsidR="006B3617" w:rsidRPr="006B3617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ES_tradnl"/>
        </w:rPr>
      </w:pPr>
      <w:r w:rsidRPr="006B3617">
        <w:rPr>
          <w:rFonts w:ascii="Calibri" w:eastAsia="Calibri" w:hAnsi="Calibri" w:cs="Calibri"/>
          <w:lang w:val="es-ES_tradnl"/>
        </w:rPr>
        <w:t xml:space="preserve">La lista de verificación legal se desarrolló sobre la base de las recomendaciones del primer </w:t>
      </w:r>
      <w:hyperlink r:id="rId9" w:history="1">
        <w:r w:rsidRPr="006B3617">
          <w:rPr>
            <w:rFonts w:ascii="Calibri" w:eastAsia="Calibri" w:hAnsi="Calibri" w:cs="Calibri"/>
            <w:color w:val="0000FF" w:themeColor="hyperlink"/>
            <w:u w:val="single"/>
            <w:lang w:val="es-ES_tradnl"/>
          </w:rPr>
          <w:t>Estudio Global</w:t>
        </w:r>
      </w:hyperlink>
      <w:r w:rsidRPr="006B3617">
        <w:rPr>
          <w:rFonts w:ascii="Calibri" w:eastAsia="Calibri" w:hAnsi="Calibri" w:cs="Calibri"/>
          <w:lang w:val="es-ES_tradnl"/>
        </w:rPr>
        <w:t xml:space="preserve"> sobre la explotación sexual de niños, niñas y adolescentes en el contexto de los viajes y el turismo. Tras el desarrollo de esta lista de verificación legal, ECPAT International llevó a cabo un análisis de país para </w:t>
      </w:r>
      <w:r>
        <w:rPr>
          <w:rFonts w:ascii="Calibri" w:eastAsia="Calibri" w:hAnsi="Calibri" w:cs="Calibri"/>
          <w:lang w:val="es-ES_tradnl"/>
        </w:rPr>
        <w:t>C</w:t>
      </w:r>
      <w:r w:rsidR="00372AFD">
        <w:rPr>
          <w:rFonts w:ascii="Calibri" w:eastAsia="Calibri" w:hAnsi="Calibri" w:cs="Calibri"/>
          <w:lang w:val="es-ES_tradnl"/>
        </w:rPr>
        <w:t>hile</w:t>
      </w:r>
      <w:r w:rsidRPr="006B3617">
        <w:rPr>
          <w:rFonts w:ascii="Calibri" w:eastAsia="Calibri" w:hAnsi="Calibri" w:cs="Calibri"/>
          <w:lang w:val="es-ES_tradnl"/>
        </w:rPr>
        <w:t xml:space="preserve"> y otros países de África, así como el sudeste de Asia, Asia y las Américas.</w:t>
      </w:r>
    </w:p>
    <w:p w14:paraId="59AB46B2" w14:textId="77777777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</w:p>
    <w:p w14:paraId="1AC3F40E" w14:textId="70678A4E" w:rsidR="006B3617" w:rsidRPr="006B3617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ES_tradnl"/>
        </w:rPr>
      </w:pPr>
      <w:r w:rsidRPr="006B3617">
        <w:rPr>
          <w:rFonts w:ascii="Calibri" w:eastAsia="Calibri" w:hAnsi="Calibri" w:cs="Calibri"/>
          <w:lang w:val="es-ES_tradnl"/>
        </w:rPr>
        <w:t>Los análisis de países sirven como base para indicar y rastrear el estado de implementación de las intervenciones legales dentro y entre las cuatro regiones. Proporcionan a los gobiernos instrucciones claras para mejorar sus acciones con respecto a la protección</w:t>
      </w:r>
      <w:r w:rsidR="00C8327E">
        <w:rPr>
          <w:rFonts w:ascii="Calibri" w:eastAsia="Calibri" w:hAnsi="Calibri" w:cs="Calibri"/>
          <w:lang w:val="es-ES_tradnl"/>
        </w:rPr>
        <w:t xml:space="preserve"> de las personas menores de edad</w:t>
      </w:r>
      <w:r w:rsidRPr="006B3617">
        <w:rPr>
          <w:rFonts w:ascii="Calibri" w:eastAsia="Calibri" w:hAnsi="Calibri" w:cs="Calibri"/>
          <w:lang w:val="es-ES_tradnl"/>
        </w:rPr>
        <w:t xml:space="preserve"> contra la explotación sexual en el contexto de los viajes y el turismo, incluidos sus elementos en línea.</w:t>
      </w:r>
    </w:p>
    <w:p w14:paraId="6A768B4F" w14:textId="77777777" w:rsidR="006B3617" w:rsidRPr="00C8327E" w:rsidRDefault="006B3617" w:rsidP="006B3617">
      <w:pPr>
        <w:spacing w:line="240" w:lineRule="auto"/>
        <w:jc w:val="both"/>
        <w:rPr>
          <w:rFonts w:ascii="Calibri" w:eastAsia="Calibri" w:hAnsi="Calibri" w:cs="Calibri"/>
          <w:lang w:val="es-CR"/>
        </w:rPr>
      </w:pPr>
    </w:p>
    <w:p w14:paraId="60CB47D0" w14:textId="77777777" w:rsidR="006B3617" w:rsidRPr="006B3617" w:rsidRDefault="006B3617" w:rsidP="006B3617">
      <w:pPr>
        <w:widowControl w:val="0"/>
        <w:spacing w:line="240" w:lineRule="auto"/>
        <w:jc w:val="both"/>
        <w:rPr>
          <w:rFonts w:ascii="Calibri" w:eastAsia="Calibri" w:hAnsi="Calibri" w:cs="Calibri"/>
          <w:lang w:val="es-ES" w:eastAsia="es-NI"/>
        </w:rPr>
      </w:pPr>
      <w:r w:rsidRPr="006B3617">
        <w:rPr>
          <w:rFonts w:ascii="Calibri" w:eastAsia="Calibri" w:hAnsi="Calibri" w:cs="Calibri"/>
          <w:lang w:val="es-ES_tradnl"/>
        </w:rPr>
        <w:t xml:space="preserve">La siguiente tabla permite evaluar fácilmente la legislación existente en comparación con las 24 medidas de la lista de verificación legal. Se actualizará a medida que cambien las leyes y políticas. Se pueden consultar la </w:t>
      </w:r>
      <w:hyperlink r:id="rId10" w:history="1">
        <w:r w:rsidRPr="006B3617">
          <w:rPr>
            <w:rFonts w:ascii="Calibri" w:eastAsia="Calibri" w:hAnsi="Calibri" w:cs="Calibri"/>
            <w:color w:val="0000FF" w:themeColor="hyperlink"/>
            <w:u w:val="single"/>
            <w:lang w:val="es-ES_tradnl"/>
          </w:rPr>
          <w:t>nota explicativa</w:t>
        </w:r>
      </w:hyperlink>
      <w:r w:rsidRPr="006B3617">
        <w:rPr>
          <w:rFonts w:ascii="Calibri" w:eastAsia="Calibri" w:hAnsi="Calibri" w:cs="Calibri"/>
          <w:lang w:val="es-ES_tradnl"/>
        </w:rPr>
        <w:t xml:space="preserve"> y la </w:t>
      </w:r>
      <w:hyperlink r:id="rId11" w:history="1">
        <w:r w:rsidRPr="006B3617">
          <w:rPr>
            <w:rFonts w:ascii="Calibri" w:eastAsia="Calibri" w:hAnsi="Calibri" w:cs="Calibri"/>
            <w:color w:val="0000FF" w:themeColor="hyperlink"/>
            <w:u w:val="single"/>
            <w:lang w:val="es-ES_tradnl"/>
          </w:rPr>
          <w:t>matriz de evaluación</w:t>
        </w:r>
      </w:hyperlink>
      <w:r w:rsidRPr="006B3617">
        <w:rPr>
          <w:rFonts w:ascii="Calibri" w:eastAsia="Calibri" w:hAnsi="Calibri" w:cs="Calibri"/>
          <w:lang w:val="es-ES_tradnl"/>
        </w:rPr>
        <w:t xml:space="preserve"> para mayor referencia. </w:t>
      </w:r>
    </w:p>
    <w:p w14:paraId="42F4CFB1" w14:textId="77777777" w:rsidR="006B3617" w:rsidRPr="00C8327E" w:rsidRDefault="006B3617">
      <w:pPr>
        <w:rPr>
          <w:rFonts w:ascii="Calibri" w:eastAsia="Calibri" w:hAnsi="Calibri" w:cs="Calibri"/>
          <w:lang w:val="es-CR"/>
        </w:rPr>
      </w:pPr>
    </w:p>
    <w:p w14:paraId="3D2CB310" w14:textId="77777777" w:rsidR="007B6F44" w:rsidRPr="00C8327E" w:rsidRDefault="007B6F44">
      <w:pPr>
        <w:rPr>
          <w:rFonts w:ascii="Calibri" w:eastAsia="Calibri" w:hAnsi="Calibri" w:cs="Calibri"/>
          <w:lang w:val="es-CR"/>
        </w:rPr>
      </w:pPr>
    </w:p>
    <w:tbl>
      <w:tblPr>
        <w:tblStyle w:val="a1"/>
        <w:tblW w:w="10230" w:type="dxa"/>
        <w:tblInd w:w="-5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3690"/>
        <w:gridCol w:w="795"/>
        <w:gridCol w:w="5220"/>
      </w:tblGrid>
      <w:tr w:rsidR="007B6F44" w14:paraId="21580DB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4320" w14:textId="77777777" w:rsidR="007B6F44" w:rsidRPr="00C8327E" w:rsidRDefault="007B6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2C6B" w14:textId="77777777" w:rsidR="007B6F44" w:rsidRDefault="00E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Recomendaciones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EE035" w14:textId="77777777" w:rsidR="007B6F44" w:rsidRDefault="00E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Implementado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C3B34" w14:textId="77777777" w:rsidR="007B6F44" w:rsidRDefault="00E727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Legislación</w:t>
            </w:r>
          </w:p>
        </w:tc>
      </w:tr>
      <w:tr w:rsidR="006B3617" w:rsidRPr="00920682" w14:paraId="1B10253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C8F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A755A" w14:textId="2A16B8A6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Establecer por ley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la jurisdicción extraterritorial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, dentro de los parámetros del Artículo 4 del </w:t>
            </w:r>
            <w:r w:rsidR="00920682">
              <w:rPr>
                <w:rFonts w:ascii="Calibri" w:eastAsia="Calibri" w:hAnsi="Calibri" w:cs="Calibri"/>
                <w:lang w:val="es-CR"/>
              </w:rPr>
              <w:t>Protocolo Facultativo</w:t>
            </w:r>
            <w:r w:rsidR="00920682" w:rsidRPr="00920682">
              <w:rPr>
                <w:rFonts w:ascii="Calibri" w:eastAsia="Calibri" w:hAnsi="Calibri" w:cs="Calibri"/>
                <w:b/>
                <w:bCs/>
                <w:lang w:val="es-CR"/>
              </w:rPr>
              <w:t>*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, </w:t>
            </w:r>
          </w:p>
          <w:p w14:paraId="5C8203E1" w14:textId="77777777" w:rsidR="00920682" w:rsidRDefault="006B3617" w:rsidP="00920682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para todos los delitos de explotación sexual de niñas, niños y adolescentes, incluyendo aquellos que se producen en línea.</w:t>
            </w:r>
            <w:r w:rsidR="009137A4">
              <w:rPr>
                <w:rFonts w:ascii="Calibri" w:eastAsia="Calibri" w:hAnsi="Calibri" w:cs="Calibri"/>
                <w:lang w:val="es-CR"/>
              </w:rPr>
              <w:br/>
            </w:r>
          </w:p>
          <w:p w14:paraId="74110271" w14:textId="1EFED64A" w:rsidR="006B3617" w:rsidRPr="00060025" w:rsidRDefault="00920682" w:rsidP="009137A4">
            <w:pPr>
              <w:spacing w:line="240" w:lineRule="auto"/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</w:pPr>
            <w:r w:rsidRPr="0006002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  <w:t>*</w:t>
            </w:r>
            <w:r w:rsidR="00060025" w:rsidRPr="0006002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  <w:t xml:space="preserve"> </w:t>
            </w:r>
            <w:r w:rsidRPr="00060025">
              <w:rPr>
                <w:rFonts w:ascii="Calibri" w:eastAsia="Calibri" w:hAnsi="Calibri" w:cs="Calibri"/>
                <w:bCs/>
                <w:i/>
                <w:iCs/>
                <w:sz w:val="20"/>
                <w:szCs w:val="20"/>
                <w:lang w:val="es-CR"/>
              </w:rPr>
              <w:t>Protocolo facultativo de la Convención sobre los Derechos del Niño relativo a la venta de niños, la prostitución infantil y la utilización de niños en la pornografía.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A608" w14:textId="6FC0BE6D" w:rsidR="006B3617" w:rsidRDefault="00105206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FA49B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Artículo 6 del Código Penal establece que los crímenes o simples delitos perpetrados fuera del territorio de la República por chilenos o por extranjeros, no serán castigados en Chile sino en los casos determinados por la ley.</w:t>
            </w:r>
          </w:p>
          <w:p w14:paraId="19FAB0B1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1593CBC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legislación nacional no proporciona información detallada sobre los estatutos de jurisdicción extraterritorial para los delitos relacionados con la explotación sexual de NNA.</w:t>
            </w:r>
          </w:p>
          <w:p w14:paraId="177BC840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B1FD926" w14:textId="02BDEB76" w:rsidR="006B3617" w:rsidRPr="00C8327E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No se especifica disposiciones para los delitos cometidos en línea.</w:t>
            </w:r>
          </w:p>
          <w:p w14:paraId="1FDA76E6" w14:textId="77777777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067BD05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018F3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9D71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Incluir en los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tratados de extradición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la explotación sexual de las niñas, niños y adolescentes como </w:t>
            </w:r>
          </w:p>
          <w:p w14:paraId="487A130B" w14:textId="4F3ACE25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lastRenderedPageBreak/>
              <w:t>delitos extraditables y, cuando corresponda, aplicar las disposiciones del Artículo 5 del OPSC, independientemente de la nacionalidad del (presunto) delincuente.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97500" w14:textId="4E7C5642" w:rsidR="006B3617" w:rsidRDefault="00105206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C5EB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Código Procesal Penal define las normas sobre la extradición pasiva y activa (artículos 431 y 400) cuando no exista un tratado de extradición entre los Estados. Se </w:t>
            </w:r>
            <w:r>
              <w:rPr>
                <w:rFonts w:ascii="Calibri" w:eastAsia="Calibri" w:hAnsi="Calibri" w:cs="Calibri"/>
              </w:rPr>
              <w:lastRenderedPageBreak/>
              <w:t xml:space="preserve">autoriza la extradición por los delitos que tuviere señalada en la ley una pena privativa de libertad cuya duración mínima excediere </w:t>
            </w:r>
            <w:proofErr w:type="gramStart"/>
            <w:r>
              <w:rPr>
                <w:rFonts w:ascii="Calibri" w:eastAsia="Calibri" w:hAnsi="Calibri" w:cs="Calibri"/>
              </w:rPr>
              <w:t>de un</w:t>
            </w:r>
            <w:proofErr w:type="gramEnd"/>
            <w:r>
              <w:rPr>
                <w:rFonts w:ascii="Calibri" w:eastAsia="Calibri" w:hAnsi="Calibri" w:cs="Calibri"/>
              </w:rPr>
              <w:t xml:space="preserve"> año.</w:t>
            </w:r>
          </w:p>
          <w:p w14:paraId="6C51880F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F8B670" w14:textId="0EDD906D" w:rsidR="006B3617" w:rsidRPr="00C8327E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>
              <w:rPr>
                <w:rFonts w:ascii="Calibri" w:eastAsia="Calibri" w:hAnsi="Calibri" w:cs="Calibri"/>
              </w:rPr>
              <w:t>En Chile, todos los delitos de explotación sexual de NNA tienen una pena de prisión superior a un año.</w:t>
            </w:r>
          </w:p>
        </w:tc>
      </w:tr>
      <w:tr w:rsidR="006B3617" w:rsidRPr="00920682" w14:paraId="5638787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4516D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3FE5A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NO exigir el principio de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 xml:space="preserve">la doble criminalidad 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para proceder con jurisdicción extraterritorial o </w:t>
            </w:r>
          </w:p>
          <w:p w14:paraId="75E4A8CC" w14:textId="6051CAEA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extradición por delitos sexuales contra niñas, niños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9105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50324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legislación nacional no proporciona información detallada sobre la aplicabilidad del criterio de la doble criminalidad cuando se trata de la jurisdicción extraterritorial.</w:t>
            </w:r>
          </w:p>
          <w:p w14:paraId="20D624B1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4DA4FE9" w14:textId="524A5F02" w:rsidR="006B3617" w:rsidRPr="00C8327E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El criterio de la doble criminalidad se aplicará cuando se trata de la extradición.</w:t>
            </w:r>
          </w:p>
        </w:tc>
      </w:tr>
      <w:tr w:rsidR="006B3617" w:rsidRPr="00920682" w14:paraId="06DB089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000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86380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Abolir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las limitaciones legales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para el enjuiciamiento de todos los delitos de explotación sexual </w:t>
            </w:r>
          </w:p>
          <w:p w14:paraId="410E1392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de niñas, niños y adolescentes.</w:t>
            </w:r>
          </w:p>
          <w:p w14:paraId="637849CF" w14:textId="3CE2558A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83A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A1E46" w14:textId="17E2A6FB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artículo 94 del Código Penal define como imprescriptibles los delitos sancionados en los </w:t>
            </w:r>
            <w:proofErr w:type="gramStart"/>
            <w:r>
              <w:rPr>
                <w:rFonts w:ascii="Calibri" w:eastAsia="Calibri" w:hAnsi="Calibri" w:cs="Calibri"/>
              </w:rPr>
              <w:t>artículos:</w:t>
            </w:r>
            <w:proofErr w:type="gramEnd"/>
            <w:r>
              <w:rPr>
                <w:rFonts w:ascii="Calibri" w:eastAsia="Calibri" w:hAnsi="Calibri" w:cs="Calibri"/>
              </w:rPr>
              <w:t xml:space="preserve"> 366 quiquines (producción de material de explotación sexual de NNA), 366 quáter, 367 (promoción o facilitación de la prostitución de menores) y 411 quáter (promoción, facilitación o financiación de la explotación sexual de NNA)</w:t>
            </w:r>
          </w:p>
          <w:p w14:paraId="36485E76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602BAEBA" w14:textId="115CB873" w:rsidR="006B3617" w:rsidRPr="00C8327E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Sin embargo, todos los delitos relacionados con la ESNNA no son imprescriptibles.</w:t>
            </w:r>
          </w:p>
        </w:tc>
      </w:tr>
      <w:tr w:rsidR="006B3617" w:rsidRPr="00920682" w14:paraId="03DFEDE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5355E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D0694" w14:textId="4281F1A9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condiciones para cualquier viaje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de personas condenadas por explotación sexual de niñas, niños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34C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72C2A" w14:textId="77777777" w:rsidR="00105206" w:rsidRDefault="00105206" w:rsidP="00105206">
            <w:pPr>
              <w:shd w:val="clear" w:color="auto" w:fill="FFFFFF"/>
              <w:spacing w:after="30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Decreto Ley 1094 que establece normas sobre extranjeros en Chile, en sus artículos 15 y 16, define las prohibiciones de ingreso en territorio nacional a los extranjeros incluyendo la prohibición de ingreso para los que se dediquen al tráfico ilegal de migrantes y trata de personas y, en general, los que ejecuten actos contrarios a la moral o a las buenas costumbres, y a los condenados o actualmente procesados por delitos comunes que la ley chilena califique de crímenes o de simples delitos.</w:t>
            </w:r>
          </w:p>
          <w:p w14:paraId="5D962AD6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 2013, se inició el trámite del proyecto de la nueva ley de Migración, incluyendo nuevas disposiciones sobre las prohibiciones de ingreso en territorio nacional. La nueva ley todavía no está vigente. </w:t>
            </w:r>
          </w:p>
          <w:p w14:paraId="64F63CF1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282ED8C" w14:textId="558CC44A" w:rsidR="006B3617" w:rsidRPr="00C8327E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El artículo 155 del Código Procesal Penal enumera las medidas cautelares personales, incluyendo la prohibición de salir del país, de la localidad en la cual residiera el imputado o del ámbito territorial que fijare el tribunal.</w:t>
            </w:r>
          </w:p>
        </w:tc>
      </w:tr>
      <w:tr w:rsidR="006B3617" w:rsidRPr="00920682" w14:paraId="4D8714F0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5D5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39316" w14:textId="1A80EB5B" w:rsidR="006B3617" w:rsidRPr="005B6BE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5B6BEE">
              <w:rPr>
                <w:rFonts w:ascii="Calibri" w:eastAsia="Calibri" w:hAnsi="Calibri" w:cs="Calibri"/>
                <w:lang w:val="es-CR"/>
              </w:rPr>
              <w:t xml:space="preserve">Definir </w:t>
            </w:r>
            <w:r w:rsidRPr="005B6BEE">
              <w:rPr>
                <w:rFonts w:ascii="Calibri" w:eastAsia="Calibri" w:hAnsi="Calibri" w:cs="Calibri"/>
                <w:b/>
                <w:lang w:val="es-CR"/>
              </w:rPr>
              <w:t>el término ‘niño’</w:t>
            </w:r>
            <w:r w:rsidRPr="005B6BEE">
              <w:rPr>
                <w:rFonts w:ascii="Calibri" w:eastAsia="Calibri" w:hAnsi="Calibri" w:cs="Calibri"/>
                <w:lang w:val="es-CR"/>
              </w:rPr>
              <w:t xml:space="preserve">, como cualquier persona </w:t>
            </w:r>
            <w:r w:rsidRPr="005B6BEE">
              <w:rPr>
                <w:rFonts w:ascii="Calibri" w:eastAsia="Calibri" w:hAnsi="Calibri" w:cs="Calibri"/>
                <w:b/>
                <w:lang w:val="es-CR"/>
              </w:rPr>
              <w:t>menor de 18 años</w:t>
            </w:r>
            <w:r w:rsidRPr="005B6BEE">
              <w:rPr>
                <w:rFonts w:ascii="Calibri" w:eastAsia="Calibri" w:hAnsi="Calibri" w:cs="Calibri"/>
                <w:lang w:val="es-CR"/>
              </w:rPr>
              <w:t xml:space="preserve">, a efectos de todos los delitos de la </w:t>
            </w:r>
            <w:r w:rsidRPr="005B6BEE">
              <w:rPr>
                <w:rFonts w:ascii="Calibri" w:eastAsia="Calibri" w:hAnsi="Calibri" w:cs="Calibri"/>
                <w:lang w:val="es-CR"/>
              </w:rPr>
              <w:lastRenderedPageBreak/>
              <w:t>explotación sexual de niñas, niños y adolescentes independientemente de la edad del consentimiento sexual.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A8B5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68C8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 artículo 26 del Código Civil define niño todo el que no ha cumplido siete </w:t>
            </w:r>
            <w:proofErr w:type="gramStart"/>
            <w:r>
              <w:rPr>
                <w:rFonts w:ascii="Calibri" w:eastAsia="Calibri" w:hAnsi="Calibri" w:cs="Calibri"/>
              </w:rPr>
              <w:t>años;</w:t>
            </w:r>
            <w:proofErr w:type="gramEnd"/>
            <w:r>
              <w:rPr>
                <w:rFonts w:ascii="Calibri" w:eastAsia="Calibri" w:hAnsi="Calibri" w:cs="Calibri"/>
              </w:rPr>
              <w:t xml:space="preserve"> impúber, el varón que no ha cumplido catorce años y la mujer que no ha cumplido </w:t>
            </w:r>
            <w:r>
              <w:rPr>
                <w:rFonts w:ascii="Calibri" w:eastAsia="Calibri" w:hAnsi="Calibri" w:cs="Calibri"/>
              </w:rPr>
              <w:lastRenderedPageBreak/>
              <w:t>doce; e mayor de edad, o simplemente mayor, el que ha cumplido dieciocho años.</w:t>
            </w:r>
          </w:p>
          <w:p w14:paraId="78039998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F6CD729" w14:textId="3D284D5C" w:rsidR="006B3617" w:rsidRPr="00C8327E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 xml:space="preserve">El Código Penal en su artículo 366 quiquines del Código penal tipifica la producción de material de explotación sexual de NNA. Artículo 367 penaliza el que promoviere o facilitare la prostitución de menores. Artículo 374 Bis penaliza el que comercialice, importe, exporte, distribuya, difunda o exhiba material de explotación sexual de NNA. Artículo 411 Bis penaliza el tráfico de migrantes cuando la víctima sea NNA. Artículo 411 Quater sanciona el </w:t>
            </w:r>
            <w:proofErr w:type="gramStart"/>
            <w:r>
              <w:rPr>
                <w:rFonts w:ascii="Calibri" w:eastAsia="Calibri" w:hAnsi="Calibri" w:cs="Calibri"/>
              </w:rPr>
              <w:t>que  promueva</w:t>
            </w:r>
            <w:proofErr w:type="gramEnd"/>
            <w:r>
              <w:rPr>
                <w:rFonts w:ascii="Calibri" w:eastAsia="Calibri" w:hAnsi="Calibri" w:cs="Calibri"/>
              </w:rPr>
              <w:t>, facilite o financie la explotación sexual de NNA</w:t>
            </w:r>
          </w:p>
        </w:tc>
      </w:tr>
      <w:tr w:rsidR="006B3617" w:rsidRPr="00920682" w14:paraId="7A8C1E09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B1B3F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7.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D5172" w14:textId="77777777" w:rsidR="006B3617" w:rsidRPr="00934C77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934C77">
              <w:rPr>
                <w:rFonts w:ascii="Calibri" w:eastAsia="Calibri" w:hAnsi="Calibri" w:cs="Calibri"/>
                <w:lang w:val="es-CR"/>
              </w:rPr>
              <w:t xml:space="preserve">Asegurar que </w:t>
            </w:r>
            <w:r w:rsidRPr="00934C77">
              <w:rPr>
                <w:rFonts w:ascii="Calibri" w:eastAsia="Calibri" w:hAnsi="Calibri" w:cs="Calibri"/>
                <w:b/>
                <w:lang w:val="es-CR"/>
              </w:rPr>
              <w:t>la edad de consentimiento sexual</w:t>
            </w:r>
            <w:r w:rsidRPr="00934C77">
              <w:rPr>
                <w:rFonts w:ascii="Calibri" w:eastAsia="Calibri" w:hAnsi="Calibri" w:cs="Calibri"/>
                <w:lang w:val="es-CR"/>
              </w:rPr>
              <w:t xml:space="preserve"> tanto para las personas de sexo masculino como para las de sexo femenino sea de 18 años y que se proporcione </w:t>
            </w:r>
            <w:r w:rsidRPr="00934C77">
              <w:rPr>
                <w:rFonts w:ascii="Calibri" w:eastAsia="Calibri" w:hAnsi="Calibri" w:cs="Calibri"/>
                <w:b/>
                <w:lang w:val="es-CR"/>
              </w:rPr>
              <w:t>una exención de edad cercana</w:t>
            </w:r>
          </w:p>
          <w:p w14:paraId="46EA59C8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(hasta 3 años) para las relaciones sexuales consensuales entre adolescentes a fin de permitir el </w:t>
            </w:r>
          </w:p>
          <w:p w14:paraId="4091147B" w14:textId="27831F8E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contacto sexual voluntario, bien informado y mutuo entre compañeros de la misma edad y para prevenir la criminalización de los jóvenes en relaciones sexuales voluntarias.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8F4C" w14:textId="6DA40F20" w:rsidR="00E30EF8" w:rsidRDefault="00105206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528A" w14:textId="77777777" w:rsidR="006B3617" w:rsidRDefault="00105206" w:rsidP="00853DE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  <w:lang w:val="es-CR"/>
              </w:rPr>
              <w:t xml:space="preserve">La edad mínima de consentimiento sexual en Chile es 14. </w:t>
            </w:r>
          </w:p>
          <w:p w14:paraId="6DA01F5A" w14:textId="77777777" w:rsidR="00105206" w:rsidRDefault="00105206" w:rsidP="00853DE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  <w:p w14:paraId="2AE4FB73" w14:textId="2134CD6A" w:rsidR="00105206" w:rsidRPr="00105206" w:rsidRDefault="00105206" w:rsidP="00105206">
            <w:pPr>
              <w:shd w:val="clear" w:color="auto" w:fill="FFFFFF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="Calibri" w:eastAsia="Calibri" w:hAnsi="Calibri" w:cs="Calibri"/>
                <w:lang w:val="es-CR"/>
              </w:rPr>
              <w:t xml:space="preserve">Sin embargo, articulo 263 del código penal prohíbe </w:t>
            </w:r>
            <w:r w:rsidRPr="00105206">
              <w:rPr>
                <w:rFonts w:asciiTheme="majorHAnsi" w:hAnsiTheme="majorHAnsi" w:cstheme="majorHAnsi"/>
                <w:color w:val="000000"/>
              </w:rPr>
              <w:t>acceder carnalmente, por vía vaginal, anal o bucal, a una persona menor de edad pero mayor de catorce años, concurriendo cualquiera de las circunstancias siguientes:</w:t>
            </w:r>
          </w:p>
          <w:p w14:paraId="2D8F431F" w14:textId="77777777" w:rsidR="00105206" w:rsidRPr="00105206" w:rsidRDefault="00105206" w:rsidP="00105206">
            <w:pPr>
              <w:rPr>
                <w:rFonts w:asciiTheme="majorHAnsi" w:hAnsiTheme="majorHAnsi" w:cstheme="majorHAnsi"/>
              </w:rPr>
            </w:pPr>
          </w:p>
          <w:p w14:paraId="6C0EB5A8" w14:textId="733B5CA0" w:rsidR="00105206" w:rsidRPr="00105206" w:rsidRDefault="00105206" w:rsidP="0010520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i/>
                <w:iCs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« </w:t>
            </w:r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Cuando </w:t>
            </w:r>
            <w:proofErr w:type="gramStart"/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>se abusa</w:t>
            </w:r>
            <w:proofErr w:type="gramEnd"/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una anomalía o perturbación mental, aun transitoria, de la víctima, que por su menor entidad no sea constitutiva de enajenación o trastorno.</w:t>
            </w:r>
          </w:p>
          <w:p w14:paraId="0B5BCD1E" w14:textId="7F150F3A" w:rsidR="00105206" w:rsidRPr="00105206" w:rsidRDefault="00105206" w:rsidP="0010520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Cuando </w:t>
            </w:r>
            <w:proofErr w:type="gramStart"/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>se abusa</w:t>
            </w:r>
            <w:proofErr w:type="gramEnd"/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 una relación de dependencia de la víctima, como en los casos en que el agresor está encargado de su custodia, educación o cuidado, o tiene con ella una relación laboral.</w:t>
            </w:r>
          </w:p>
          <w:p w14:paraId="5BD8BEB4" w14:textId="240FD97B" w:rsidR="00105206" w:rsidRPr="00105206" w:rsidRDefault="00105206" w:rsidP="0010520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Cuando </w:t>
            </w:r>
            <w:proofErr w:type="gramStart"/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>se abusa</w:t>
            </w:r>
            <w:proofErr w:type="gramEnd"/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 xml:space="preserve"> del grave desamparo en que se encuentra la víctima.</w:t>
            </w:r>
          </w:p>
          <w:p w14:paraId="2518F22F" w14:textId="563F06A2" w:rsidR="00105206" w:rsidRPr="00105206" w:rsidRDefault="00105206" w:rsidP="00105206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105206">
              <w:rPr>
                <w:rFonts w:asciiTheme="majorHAnsi" w:hAnsiTheme="majorHAnsi" w:cstheme="majorHAnsi"/>
                <w:i/>
                <w:iCs/>
                <w:color w:val="000000"/>
              </w:rPr>
              <w:t>Cuando se engaña a la víctima abusando de su inexperiencia o ignorancia sexual. »</w:t>
            </w:r>
          </w:p>
          <w:p w14:paraId="54451D91" w14:textId="490FB30A" w:rsidR="00105206" w:rsidRPr="00934C77" w:rsidRDefault="00105206" w:rsidP="00853DE5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670209D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41B8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12D4" w14:textId="79907A2D" w:rsidR="006B3617" w:rsidRPr="00E30EF8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Tener una ley o reglamento que establezca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un mecanismo para el registro centralizado de delincuentes sexuales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que se haya implementado / determinado.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008B" w14:textId="7C87920B" w:rsidR="006B3617" w:rsidRDefault="00105206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92DD" w14:textId="362EBF71" w:rsidR="006B3617" w:rsidRPr="00E30EF8" w:rsidRDefault="00105206" w:rsidP="006B3617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 xml:space="preserve">La Ley nº 20.594 establece el registro de inhabilidades para condenados por delitos sexuales de menores. Serán registrados las personas inhabilitadas para trabajar con NNA por alguna de las siguientes </w:t>
            </w:r>
            <w:proofErr w:type="gramStart"/>
            <w:r>
              <w:rPr>
                <w:rFonts w:ascii="Calibri" w:eastAsia="Calibri" w:hAnsi="Calibri" w:cs="Calibri"/>
              </w:rPr>
              <w:t>causas:</w:t>
            </w:r>
            <w:proofErr w:type="gramEnd"/>
            <w:r>
              <w:rPr>
                <w:rFonts w:ascii="Calibri" w:eastAsia="Calibri" w:hAnsi="Calibri" w:cs="Calibri"/>
              </w:rPr>
              <w:t xml:space="preserve"> violación, abuso sexual, prostitución, actos de connotación sexual y producción de pornografía.</w:t>
            </w:r>
          </w:p>
        </w:tc>
      </w:tr>
      <w:tr w:rsidR="006B3617" w:rsidRPr="00920682" w14:paraId="7CBE4D0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069FA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55938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condiciones de libertad bajo fianza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que prohíban a las personas acusadas de delitos </w:t>
            </w:r>
          </w:p>
          <w:p w14:paraId="462E72BD" w14:textId="4E0C5F42" w:rsidR="006B3617" w:rsidRPr="00E30EF8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sexuales contra niñas, niños y </w:t>
            </w:r>
            <w:r w:rsidRPr="00E30EF8">
              <w:rPr>
                <w:rFonts w:ascii="Calibri" w:eastAsia="Calibri" w:hAnsi="Calibri" w:cs="Calibri"/>
                <w:lang w:val="es-CR"/>
              </w:rPr>
              <w:lastRenderedPageBreak/>
              <w:t>adolescentes viajar fuera del país.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48B1B" w14:textId="2B831A13" w:rsidR="006B3617" w:rsidRDefault="00105206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C5824" w14:textId="75928BF5" w:rsidR="006B3617" w:rsidRPr="00E30EF8" w:rsidRDefault="00105206" w:rsidP="00853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red"/>
                <w:lang w:val="es-CR"/>
              </w:rPr>
            </w:pPr>
            <w:r>
              <w:rPr>
                <w:rFonts w:ascii="Calibri" w:eastAsia="Calibri" w:hAnsi="Calibri" w:cs="Calibri"/>
              </w:rPr>
              <w:t xml:space="preserve">El artículo 23 del Código Penal y los artículos 146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148 del Código Procesal Penal establecen un sistema de caución para reemplazar la prisión preventiva.</w:t>
            </w:r>
          </w:p>
        </w:tc>
      </w:tr>
      <w:tr w:rsidR="006B3617" w:rsidRPr="00920682" w14:paraId="0EA97A1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DA0E5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3730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Asegurar que la ley penalice la mera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tentativa de cometer un delito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de explotación sexual de </w:t>
            </w:r>
          </w:p>
          <w:p w14:paraId="59323034" w14:textId="479BDF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 w:rsidRPr="00F93808">
              <w:rPr>
                <w:rFonts w:ascii="Calibri" w:eastAsia="Calibri" w:hAnsi="Calibri" w:cs="Calibri"/>
              </w:rPr>
              <w:t>niñas</w:t>
            </w:r>
            <w:proofErr w:type="gramEnd"/>
            <w:r w:rsidRPr="00F93808">
              <w:rPr>
                <w:rFonts w:ascii="Calibri" w:eastAsia="Calibri" w:hAnsi="Calibri" w:cs="Calibri"/>
              </w:rPr>
              <w:t>, niños y adolescentes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031E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B5721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 artículos 7 y 52 del Código Penal definen y penalizan la tentativa. Se impondrá la pena inferior en dos grados a la que señala la ley para el crimen o simple delito.</w:t>
            </w:r>
          </w:p>
          <w:p w14:paraId="79A6CA3D" w14:textId="77777777" w:rsidR="006B3617" w:rsidRPr="00105206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B3617" w:rsidRPr="00920682" w14:paraId="486B98E5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D04BF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6A242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Imponer sanciones más severas por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 xml:space="preserve">reincidencia en caso de explotación sexual contra niñas, niños y </w:t>
            </w:r>
          </w:p>
          <w:p w14:paraId="753B89F3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b/>
                <w:lang w:val="es-CR"/>
              </w:rPr>
              <w:t>adolescentes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, p. ej. al definir la reincidencia como una circunstancia agravante, independientemente </w:t>
            </w:r>
          </w:p>
          <w:p w14:paraId="6C6BBEB1" w14:textId="08283687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de que los delitos hayan sido perpetrados en el extranjero o en el país.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F8C0D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2AAB" w14:textId="5DB20EC4" w:rsidR="006B3617" w:rsidRPr="00C8327E" w:rsidRDefault="00105206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El artículo 12 del código penal define como circunstancia agravante la reincidencia.</w:t>
            </w:r>
          </w:p>
        </w:tc>
      </w:tr>
      <w:tr w:rsidR="006B3617" w:rsidRPr="00920682" w14:paraId="46935D4D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55A9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2650B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Proporcionar </w:t>
            </w:r>
            <w:r w:rsidRPr="00E30EF8">
              <w:rPr>
                <w:rFonts w:ascii="Calibri" w:eastAsia="Calibri" w:hAnsi="Calibri" w:cs="Calibri"/>
                <w:b/>
                <w:lang w:val="es-CR"/>
              </w:rPr>
              <w:t>informes obligatorios</w:t>
            </w:r>
            <w:r w:rsidRPr="00E30EF8">
              <w:rPr>
                <w:rFonts w:ascii="Calibri" w:eastAsia="Calibri" w:hAnsi="Calibri" w:cs="Calibri"/>
                <w:lang w:val="es-CR"/>
              </w:rPr>
              <w:t xml:space="preserve"> para profesiones particulares que tienen probabilidad de tener </w:t>
            </w:r>
          </w:p>
          <w:p w14:paraId="2E002A31" w14:textId="6EBB1DF3" w:rsidR="006B3617" w:rsidRPr="00E30EF8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>contacto con niñas, niños y adolescentes que puedan revelar la explotación sexual.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7882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67A3E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 xml:space="preserve">Los artículos 173 </w:t>
            </w: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179 del Código Procesal Penal establecen el sistema nacional de denuncia. Estarán obligados a </w:t>
            </w:r>
            <w:proofErr w:type="gramStart"/>
            <w:r>
              <w:rPr>
                <w:rFonts w:ascii="Calibri" w:eastAsia="Calibri" w:hAnsi="Calibri" w:cs="Calibri"/>
              </w:rPr>
              <w:t>denunciar: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 xml:space="preserve">“a) Los miembros de Carabineros de Chile, de la Policía de Investigaciones de Chile y de Gendarmería, todos los delitos que presenciaren o llegaren a su noticia. Los miembros de las Fuerzas Armadas estarán también obligados a denunciar todos los delitos de que tomaren conocimiento en el ejercicio de sus </w:t>
            </w:r>
            <w:proofErr w:type="gramStart"/>
            <w:r>
              <w:rPr>
                <w:rFonts w:ascii="Calibri" w:eastAsia="Calibri" w:hAnsi="Calibri" w:cs="Calibri"/>
                <w:i/>
              </w:rPr>
              <w:t>funciones;</w:t>
            </w:r>
            <w:proofErr w:type="gramEnd"/>
          </w:p>
          <w:p w14:paraId="731C67AC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b) Los fiscales y los demás empleados públicos, los delitos de que tomaren conocimiento en el ejercicio de sus funciones y, especialmente, en su caso, los que notaren en la conducta ministerial de sus </w:t>
            </w:r>
            <w:proofErr w:type="gramStart"/>
            <w:r>
              <w:rPr>
                <w:rFonts w:ascii="Calibri" w:eastAsia="Calibri" w:hAnsi="Calibri" w:cs="Calibri"/>
                <w:i/>
              </w:rPr>
              <w:t>subalternos;</w:t>
            </w:r>
            <w:proofErr w:type="gramEnd"/>
          </w:p>
          <w:p w14:paraId="23C238CF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c) Los jefes de puertos, aeropuertos, estaciones de trenes o buses o de otros medios de locomoción o de carga, los capitanes de naves o de aeronaves comerciales que naveguen en el mar territorial o en el espacio territorial, respectivamente, y los conductores de los trenes, buses u otros medios de transporte o carga, los delitos que se cometieren durante el viaje, en el recinto de una estación, puerto o aeropuerto o a bordo del buque o </w:t>
            </w:r>
            <w:proofErr w:type="gramStart"/>
            <w:r>
              <w:rPr>
                <w:rFonts w:ascii="Calibri" w:eastAsia="Calibri" w:hAnsi="Calibri" w:cs="Calibri"/>
                <w:i/>
              </w:rPr>
              <w:t>aeronave;</w:t>
            </w:r>
            <w:proofErr w:type="gramEnd"/>
          </w:p>
          <w:p w14:paraId="6D0A1279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d) Los jefes de establecimientos hospitalarios o de clínicas particulares y, en general, los profesionales en medicina, odontología, química, farmacia y de otras ramas relacionadas con la conservación o el restablecimiento de la salud, y los que ejercieren prestaciones auxiliares de ellas, que notaren en una persona o en un cadáver señales de envenenamiento o de otro </w:t>
            </w:r>
            <w:proofErr w:type="gramStart"/>
            <w:r>
              <w:rPr>
                <w:rFonts w:ascii="Calibri" w:eastAsia="Calibri" w:hAnsi="Calibri" w:cs="Calibri"/>
                <w:i/>
              </w:rPr>
              <w:t>delito;</w:t>
            </w:r>
            <w:proofErr w:type="gramEnd"/>
          </w:p>
          <w:p w14:paraId="36738B6B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e) Los directores, inspectores y profesores de establecimientos educacionales de todo nivel, los delitos que afectaren a los alumnos o que hubieren tenido </w:t>
            </w:r>
            <w:r>
              <w:rPr>
                <w:rFonts w:ascii="Calibri" w:eastAsia="Calibri" w:hAnsi="Calibri" w:cs="Calibri"/>
                <w:i/>
              </w:rPr>
              <w:lastRenderedPageBreak/>
              <w:t>lugar en el establecimiento.</w:t>
            </w:r>
          </w:p>
          <w:p w14:paraId="09B84B3C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f) Los jefes de establecimientos de salud, públicos o privados, y los sostenedores y directores de establecimientos educacionales, públicos o privados, respecto de los delitos perpetrados contra los profesionales y funcionarios de dichos establecimientos al interior de sus dependencias o mientras éstos se encontraren en el ejercicio de sus funciones o en razón, con motivo u ocasión de ellas. La misma obligación tendrán los</w:t>
            </w:r>
          </w:p>
          <w:p w14:paraId="7E2AFB95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proofErr w:type="gramStart"/>
            <w:r>
              <w:rPr>
                <w:rFonts w:ascii="Calibri" w:eastAsia="Calibri" w:hAnsi="Calibri" w:cs="Calibri"/>
                <w:i/>
              </w:rPr>
              <w:t>directores</w:t>
            </w:r>
            <w:proofErr w:type="gramEnd"/>
            <w:r>
              <w:rPr>
                <w:rFonts w:ascii="Calibri" w:eastAsia="Calibri" w:hAnsi="Calibri" w:cs="Calibri"/>
                <w:i/>
              </w:rPr>
              <w:t xml:space="preserve"> de los Servicios Locales de Educación respecto de estos delitos, cuando ocurran en los establecimientos educacionales que formen parte del territorio de su competencia.”</w:t>
            </w:r>
          </w:p>
          <w:p w14:paraId="52028B93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6B15766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que no cumple la obligación de denuncia será sancionado con una pena de multa de una a cuatro unidades tributarias mensuales (artículo 494 del Código Penal).</w:t>
            </w:r>
          </w:p>
          <w:p w14:paraId="321F6293" w14:textId="77777777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  <w:p w14:paraId="791570C0" w14:textId="77777777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</w:tc>
      </w:tr>
      <w:tr w:rsidR="006B3617" w:rsidRPr="00920682" w14:paraId="32736B0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F2E03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5A69B" w14:textId="77777777" w:rsidR="006B3617" w:rsidRPr="00E30EF8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E30EF8">
              <w:rPr>
                <w:rFonts w:ascii="Calibri" w:eastAsia="Calibri" w:hAnsi="Calibri" w:cs="Calibri"/>
                <w:lang w:val="es-CR"/>
              </w:rPr>
              <w:t xml:space="preserve">Establecer estándares obligatorios de protección infantil regulados por el gobierno para la industria </w:t>
            </w:r>
          </w:p>
          <w:p w14:paraId="47452C6D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del turismo, por ejemplo, atribuir la responsabilidad a una autoridad reguladora apropiada y / o </w:t>
            </w:r>
          </w:p>
          <w:p w14:paraId="43C61A34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implementar </w:t>
            </w:r>
            <w:r w:rsidRPr="00C8327E">
              <w:rPr>
                <w:rFonts w:ascii="Calibri" w:eastAsia="Calibri" w:hAnsi="Calibri" w:cs="Calibri"/>
                <w:b/>
                <w:lang w:val="es-CR"/>
              </w:rPr>
              <w:t>códigos nacionales específicos de la industria para la protección infantil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como un </w:t>
            </w:r>
          </w:p>
          <w:p w14:paraId="2A44F72B" w14:textId="21E8171B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requisito legal para el funcionamiento de la industria de viajes y turismo.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EA7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4ED7" w14:textId="77777777" w:rsidR="00105206" w:rsidRDefault="00105206" w:rsidP="00105206">
            <w:pPr>
              <w:widowControl w:val="0"/>
              <w:shd w:val="clear" w:color="auto" w:fill="FFFFFF"/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 Chile, existe un código nacional de conducta para la protección de NNA en la industria turística desde 2018. </w:t>
            </w:r>
          </w:p>
          <w:p w14:paraId="11055D9C" w14:textId="77777777" w:rsidR="00105206" w:rsidRDefault="00105206" w:rsidP="00105206">
            <w:pPr>
              <w:widowControl w:val="0"/>
              <w:shd w:val="clear" w:color="auto" w:fill="FFFFFF"/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Sin embargo, su adhesión no es obligatoria. </w:t>
            </w:r>
          </w:p>
          <w:p w14:paraId="15E4D270" w14:textId="77777777" w:rsidR="00105206" w:rsidRDefault="00105206" w:rsidP="00105206">
            <w:pPr>
              <w:widowControl w:val="0"/>
              <w:shd w:val="clear" w:color="auto" w:fill="FFFFFF"/>
              <w:spacing w:after="16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empresa adherida deberá implementar un protocolo interno que permita prevenir, identificar y actuar ante una situación de ESNNA y cumplido un año desde la adhesión, el adherente deberá presentar un informe que refleje los compromisos adoptados y el grado de cumplimiento de estos.</w:t>
            </w:r>
          </w:p>
          <w:p w14:paraId="7AF56011" w14:textId="0669BEF9" w:rsidR="006B3617" w:rsidRPr="00E30EF8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Las autoridades reguladoras son el Servicio Nacional de Turismo (SERNATUR) y el Ministerio de Economía, Fomento y Turismo del Gobierno de Chile.</w:t>
            </w:r>
          </w:p>
        </w:tc>
      </w:tr>
      <w:tr w:rsidR="006B3617" w:rsidRPr="00920682" w14:paraId="51357EE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D951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8628" w14:textId="77777777" w:rsidR="006B3617" w:rsidRPr="003473D9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3473D9">
              <w:rPr>
                <w:rFonts w:ascii="Calibri" w:eastAsia="Calibri" w:hAnsi="Calibri" w:cs="Calibri"/>
                <w:lang w:val="es-CR"/>
              </w:rPr>
              <w:t xml:space="preserve">Garantizar </w:t>
            </w:r>
            <w:r w:rsidRPr="003473D9">
              <w:rPr>
                <w:rFonts w:ascii="Calibri" w:eastAsia="Calibri" w:hAnsi="Calibri" w:cs="Calibri"/>
                <w:b/>
                <w:lang w:val="es-CR"/>
              </w:rPr>
              <w:t>la responsabilidad de las empresas</w:t>
            </w:r>
            <w:r w:rsidRPr="003473D9">
              <w:rPr>
                <w:rFonts w:ascii="Calibri" w:eastAsia="Calibri" w:hAnsi="Calibri" w:cs="Calibri"/>
                <w:lang w:val="es-CR"/>
              </w:rPr>
              <w:t xml:space="preserve"> de viajes y turismo (en operaciones y cadenas de </w:t>
            </w:r>
          </w:p>
          <w:p w14:paraId="62165644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suministro) por conductas delictivas, que incluyen:</w:t>
            </w:r>
          </w:p>
          <w:p w14:paraId="0DF84F37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• Organizar arreglos de viaje o transporte que tengan la intención explícita o implícita de crear o </w:t>
            </w:r>
          </w:p>
          <w:p w14:paraId="0A03A2A9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facilitar oportunidades para involucrar (involucrar) a niñas, niños y adolescentes en actividades </w:t>
            </w:r>
          </w:p>
          <w:p w14:paraId="4883F148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sexuales;</w:t>
            </w:r>
          </w:p>
          <w:p w14:paraId="08CC205D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lastRenderedPageBreak/>
              <w:t>• Procurar, ayudar o incitar a la conducta sexual de explotación contra un niño/una niña/adolescente;</w:t>
            </w:r>
          </w:p>
          <w:p w14:paraId="1A025506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• Hacer publicidad de o promover la explotación sexual de NNA;</w:t>
            </w:r>
          </w:p>
          <w:p w14:paraId="6684745C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• Beneficiarse, por cualquier medio, de cualquier forma de explotación sexual de un niño/una </w:t>
            </w:r>
          </w:p>
          <w:p w14:paraId="095497E8" w14:textId="0270DB92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niña/adolescente (o niños/adolescentes) en el contexto de su negocio de viajes y turismo.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449FE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C1AA" w14:textId="7840DAD5" w:rsidR="006B3617" w:rsidRPr="00C8327E" w:rsidRDefault="00105206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Según el artículo 368 Ter del Código Penal, cuando, en la comisión de los delitos señalados en los artículos 366 quáter, 366 quinquies, 367 y 374 bis (mencionados en el punto 10) se utilizarán establecimientos o locales, a sabiendas de su propietario o encargado, o no pudiendo éste menos que saberlo, podrá decretarse en la sentencia su clausura definitiva.</w:t>
            </w:r>
          </w:p>
        </w:tc>
      </w:tr>
      <w:tr w:rsidR="006B3617" w:rsidRPr="00920682" w14:paraId="2FCF79C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2768E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48FDA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b/>
                <w:lang w:val="es-CR"/>
              </w:rPr>
              <w:t>Penalizar el grooming de niñas, niños y adolescentes con fines sexuales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(a menudo denominado </w:t>
            </w:r>
          </w:p>
          <w:p w14:paraId="5C0F75DC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“solicitación” según la ley) incluso a través de Internet y otras tecnologías de la comunicación para </w:t>
            </w:r>
          </w:p>
          <w:p w14:paraId="529AEB1E" w14:textId="582966B1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>facilitar la explotación sexual en línea o fuera de línea.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ACD52" w14:textId="6B9EC5A6" w:rsidR="006B3617" w:rsidRDefault="00105206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37A17" w14:textId="1BA02D56" w:rsidR="007B4101" w:rsidRPr="007B4101" w:rsidRDefault="00105206" w:rsidP="007B4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La Ley Nº20.526 que sanciona el acoso sexual de menores, la pornografía infantil virtual y la posesión de material pornográfico infantil sanciona el “grooming” con una pena de presidio de 3 años y un dia a 5 años cuando la víctima sea NNA (artículo 366 quáter del Código Penal).</w:t>
            </w:r>
          </w:p>
        </w:tc>
      </w:tr>
      <w:tr w:rsidR="006B3617" w:rsidRPr="00920682" w14:paraId="663A2FE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FB4B0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16.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3A545" w14:textId="340785E6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una legislación que requiera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una verificación de antecedentes penales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para cada persona (nacional o no nacional) que solicite trabajo con o para niñas, niños y adolescentes (NNA), o que esté trabajando actualmente con o para NNA. Introducir legislación que prohíba a los delincuentes sexuales condenados ocupar cargos que impliquen o faciliten el contacto con niñas/niños/adolescentes.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82008" w14:textId="0C6416EE" w:rsidR="006B3617" w:rsidRDefault="00105206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71CD6" w14:textId="78CC6BA3" w:rsidR="006B3617" w:rsidRPr="007B4101" w:rsidRDefault="00105206" w:rsidP="006B3617">
            <w:pPr>
              <w:widowControl w:val="0"/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Según la Ley nº 20.594 que crea inhabilidades para condenados por delitos sexuales contra menores y establece registro de dichas inhabilidades, artículo 6 Bis:</w:t>
            </w:r>
            <w:r>
              <w:rPr>
                <w:rFonts w:ascii="Calibri" w:eastAsia="Calibri" w:hAnsi="Calibri" w:cs="Calibri"/>
                <w:i/>
              </w:rPr>
              <w:t xml:space="preserve"> “Toda institución pública o privada que por la naturaleza de su objeto o el ámbito específico de su actividad requiera contratar a una persona determinada para algún empleo, cargo, oficio o profesión que involucre una relación directa y habitual con menores de edad deberá, antes de efectuar dicha contratación, solicitar la información a que se refiere el inciso precedente”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6B3617" w:rsidRPr="00920682" w14:paraId="7091066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DB6C5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1D0D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b/>
                <w:lang w:val="es-CR"/>
              </w:rPr>
              <w:t>Regular y supervisar el uso de voluntarios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(incluido el “volunturismo”) en entornos y actividades que impliquen contacto directo con niñas, niños y adolescentes, en particular prohibiendo las visitas </w:t>
            </w:r>
          </w:p>
          <w:p w14:paraId="52304CA5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a orfanatos / entornos de atención residencial a favor de reorientar la industria hacia soluciones </w:t>
            </w:r>
          </w:p>
          <w:p w14:paraId="7D698053" w14:textId="21F93660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que apoyen la atención basada en la comunidad.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EB6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E823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se ha encontrado marco legal que regule la participación de voluntarios internacionales en instituciones y actividades en las que hay NNA presentes.</w:t>
            </w:r>
          </w:p>
          <w:p w14:paraId="67588006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148FED58" w14:textId="49344304" w:rsidR="006B3617" w:rsidRPr="003473D9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yellow"/>
                <w:lang w:val="es-CR"/>
              </w:rPr>
            </w:pPr>
            <w:r>
              <w:rPr>
                <w:rFonts w:ascii="Calibri" w:eastAsia="Calibri" w:hAnsi="Calibri" w:cs="Calibri"/>
              </w:rPr>
              <w:t>En el año 2011, se dictó la Ley Nº 20.500 sobre participación ciudadana que reguló aspectos concernientes al derecho de asociación, las asociaciones sin fines de lucro y las organizaciones de interés público, entre otras materias.</w:t>
            </w:r>
          </w:p>
        </w:tc>
      </w:tr>
      <w:tr w:rsidR="006B3617" w:rsidRPr="00920682" w14:paraId="700232CA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C1E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E1F48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Ratificar y aplicar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los instrumentos regionales e internacionales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pertinentes relacionados con los </w:t>
            </w:r>
          </w:p>
          <w:p w14:paraId="1FADEFEB" w14:textId="1172FC6E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derechos del niño y la explotación </w:t>
            </w:r>
            <w:r w:rsidRPr="007B4101">
              <w:rPr>
                <w:rFonts w:ascii="Calibri" w:eastAsia="Calibri" w:hAnsi="Calibri" w:cs="Calibri"/>
                <w:lang w:val="es-CR"/>
              </w:rPr>
              <w:lastRenderedPageBreak/>
              <w:t>sexual de niñas, niños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9C4AA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F8187" w14:textId="77777777" w:rsidR="00105206" w:rsidRDefault="00105206" w:rsidP="0010520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Convención sobre los Derechos del Niño (CDN) - Ratificado en 1990</w:t>
            </w:r>
          </w:p>
          <w:p w14:paraId="5509074F" w14:textId="77777777" w:rsidR="00105206" w:rsidRDefault="00105206" w:rsidP="0010520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Protocolo facultativo de la Convención sobre los Derechos del Niño relativo a la venta de </w:t>
            </w:r>
            <w:r>
              <w:rPr>
                <w:rFonts w:ascii="Calibri" w:eastAsia="Calibri" w:hAnsi="Calibri" w:cs="Calibri"/>
              </w:rPr>
              <w:lastRenderedPageBreak/>
              <w:t>niños, la prostitución infantil y la utilización de niños en la pornografía - Ratificado en 2003</w:t>
            </w:r>
          </w:p>
          <w:p w14:paraId="566A57C9" w14:textId="77777777" w:rsidR="00105206" w:rsidRDefault="00105206" w:rsidP="0010520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Protocolo facultativo de la Convención sobre los Derechos del Niño relativo a un procedimiento de comunicaciones (OP3 CDN) - Ratificado en 2015</w:t>
            </w:r>
          </w:p>
          <w:p w14:paraId="48B69E0C" w14:textId="77777777" w:rsidR="00105206" w:rsidRDefault="00105206" w:rsidP="0010520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Protocolo de las Naciones Unidas para prevenir, reprimir y sancionar la trata de personas, en especial de mujeres y niños - Ratificado en 2004</w:t>
            </w:r>
          </w:p>
          <w:p w14:paraId="20DA1F02" w14:textId="77777777" w:rsidR="00105206" w:rsidRDefault="00105206" w:rsidP="0010520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Convenio No 182 de la OIT sobre la prohibición de las peores formas de trabajo infantil y la acción inmediata para su eliminación - Ratificado en 2000</w:t>
            </w:r>
          </w:p>
          <w:p w14:paraId="6AE451BC" w14:textId="77777777" w:rsidR="00105206" w:rsidRDefault="00105206" w:rsidP="00105206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Convenio del Consejo de Europa sobre la ciberdelincuencia (Convenio de Budapest) - Ratificado en 2017</w:t>
            </w:r>
          </w:p>
          <w:p w14:paraId="54209A79" w14:textId="77777777" w:rsidR="00105206" w:rsidRDefault="00105206" w:rsidP="0010520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Convención Iberoamericana de Derechos de los Jóvenes - </w:t>
            </w:r>
            <w:r>
              <w:rPr>
                <w:rFonts w:ascii="Calibri" w:eastAsia="Calibri" w:hAnsi="Calibri" w:cs="Calibri"/>
                <w:color w:val="FF0000"/>
              </w:rPr>
              <w:t>No firmado</w:t>
            </w:r>
          </w:p>
          <w:p w14:paraId="01D2F37F" w14:textId="77777777" w:rsidR="00105206" w:rsidRDefault="00105206" w:rsidP="0010520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Protocolo Adicional de la Convención Iberoamericana de Derechos de los Jóvenes, el Pacto Iberoamericano de Juventud - </w:t>
            </w:r>
            <w:r>
              <w:rPr>
                <w:rFonts w:ascii="Calibri" w:eastAsia="Calibri" w:hAnsi="Calibri" w:cs="Calibri"/>
                <w:color w:val="FF0000"/>
              </w:rPr>
              <w:t>No firmado</w:t>
            </w:r>
          </w:p>
          <w:p w14:paraId="14D3F2F5" w14:textId="77777777" w:rsidR="00105206" w:rsidRDefault="00105206" w:rsidP="0010520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Convención Interamericana sobre Tráfico Internacional de Menores (1994) - </w:t>
            </w:r>
            <w:r>
              <w:rPr>
                <w:rFonts w:ascii="Calibri" w:eastAsia="Calibri" w:hAnsi="Calibri" w:cs="Calibri"/>
                <w:color w:val="FF0000"/>
              </w:rPr>
              <w:t>No ratificado</w:t>
            </w:r>
          </w:p>
          <w:p w14:paraId="221C4DBE" w14:textId="77777777" w:rsidR="00105206" w:rsidRDefault="00105206" w:rsidP="00105206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Convención Interamericana sobre restitución </w:t>
            </w:r>
            <w:proofErr w:type="gramStart"/>
            <w:r>
              <w:rPr>
                <w:rFonts w:ascii="Calibri" w:eastAsia="Calibri" w:hAnsi="Calibri" w:cs="Calibri"/>
              </w:rPr>
              <w:t>internacional  de</w:t>
            </w:r>
            <w:proofErr w:type="gramEnd"/>
            <w:r>
              <w:rPr>
                <w:rFonts w:ascii="Calibri" w:eastAsia="Calibri" w:hAnsi="Calibri" w:cs="Calibri"/>
              </w:rPr>
              <w:t xml:space="preserve"> menores (1989) - </w:t>
            </w:r>
            <w:r>
              <w:rPr>
                <w:rFonts w:ascii="Calibri" w:eastAsia="Calibri" w:hAnsi="Calibri" w:cs="Calibri"/>
                <w:color w:val="FF0000"/>
              </w:rPr>
              <w:t>No ratificado</w:t>
            </w:r>
          </w:p>
          <w:p w14:paraId="2AC20338" w14:textId="32DF2700" w:rsidR="006B3617" w:rsidRPr="007B4101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  <w:r>
              <w:rPr>
                <w:rFonts w:ascii="Calibri" w:eastAsia="Calibri" w:hAnsi="Calibri" w:cs="Calibri"/>
              </w:rPr>
              <w:t xml:space="preserve">Convención Marco de la OMT sobre Ética del Turismo - </w:t>
            </w:r>
            <w:r>
              <w:rPr>
                <w:rFonts w:ascii="Calibri" w:eastAsia="Calibri" w:hAnsi="Calibri" w:cs="Calibri"/>
                <w:color w:val="FF0000"/>
              </w:rPr>
              <w:t>No ratificado</w:t>
            </w:r>
          </w:p>
        </w:tc>
      </w:tr>
      <w:tr w:rsidR="006B3617" w:rsidRPr="00920682" w14:paraId="1435E277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591C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4609" w14:textId="63845AB0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medidas de protección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para niñas, niños y adolescentes víctimas en cualquier etapa del proceso judicial contra el presunto delincuente.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1B051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60232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 artículo 78 Bis del Código Penal establece una protección para las víctimas de trata de personas y tráfico durante todo el proceso penal. Además, cuando se trate de menores de dieciocho años, los servicios públicos a cargo de la protección de la infancia y la adolescencia deberán facilitar su acceso a las prestaciones especializadas que requieran, especialmente, aquellas tendientes a su recuperación integral y a la revinculación familiar, si fuere procedente de acuerdo al interés superior del menor de edad.</w:t>
            </w:r>
          </w:p>
          <w:p w14:paraId="0668947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</w:p>
          <w:p w14:paraId="75149635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 Ley Nº20.032 establece un sistema de atención a la niñez y adolescencia a través de la red de colaboradores del SENAME, y su régimen de subvención. La ley asegura la protección de los derechos de las NNA víctimas en todo momento.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  <w:t xml:space="preserve"> </w:t>
            </w:r>
            <w:r>
              <w:rPr>
                <w:rFonts w:ascii="Calibri" w:eastAsia="Calibri" w:hAnsi="Calibri" w:cs="Calibri"/>
              </w:rPr>
              <w:tab/>
            </w:r>
          </w:p>
          <w:p w14:paraId="0F1ADA50" w14:textId="31D36E8F" w:rsidR="00105206" w:rsidRPr="00C8327E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  <w:highlight w:val="white"/>
              </w:rPr>
              <w:t>La ley no establece una diferencia explícita entre los niños víctimas nacionales y los no nacionales, ni siquiera indica claramente si las disposiciones pertinentes se aplicarían a los no nacionales.</w:t>
            </w:r>
          </w:p>
        </w:tc>
      </w:tr>
      <w:tr w:rsidR="006B3617" w:rsidRPr="00920682" w14:paraId="38EC7804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B9EE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20.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809F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prácticas de entrevistas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>adaptadas a niñas, niños y adolescentes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 por parte de policías </w:t>
            </w:r>
          </w:p>
          <w:p w14:paraId="4512E356" w14:textId="130321FD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 w:rsidRPr="00D96FA7">
              <w:rPr>
                <w:rFonts w:ascii="Calibri" w:eastAsia="Calibri" w:hAnsi="Calibri" w:cs="Calibri"/>
              </w:rPr>
              <w:t>capacitados</w:t>
            </w:r>
            <w:proofErr w:type="gramEnd"/>
            <w:r w:rsidRPr="00D96FA7">
              <w:rPr>
                <w:rFonts w:ascii="Calibri" w:eastAsia="Calibri" w:hAnsi="Calibri" w:cs="Calibri"/>
              </w:rPr>
              <w:t xml:space="preserve"> profesionalmente.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82819" w14:textId="0261F85A" w:rsidR="006B3617" w:rsidRDefault="00F22EC2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Parcialmente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D046" w14:textId="77777777" w:rsidR="005E64E6" w:rsidRDefault="00105206" w:rsidP="00060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</w:rPr>
              <w:t>La Ley Nº 21.057 regula entrevistas grabadas en video y, otra medidas de resguardo a menores de edad, víctimas de delitos sexuales. La ley se aplica tanto a nacionales como no nacionales (artículo 1).</w:t>
            </w:r>
            <w:r w:rsidR="00060025">
              <w:rPr>
                <w:rFonts w:ascii="Calibri" w:eastAsia="Calibri" w:hAnsi="Calibri" w:cs="Calibri"/>
                <w:lang w:val="en-US"/>
              </w:rPr>
              <w:t xml:space="preserve"> </w:t>
            </w:r>
          </w:p>
          <w:p w14:paraId="43917930" w14:textId="77777777" w:rsidR="00F22EC2" w:rsidRDefault="00F22EC2" w:rsidP="00060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n-US"/>
              </w:rPr>
            </w:pPr>
          </w:p>
          <w:p w14:paraId="1BC39309" w14:textId="07F8976A" w:rsidR="00F22EC2" w:rsidRPr="00060025" w:rsidRDefault="00F22EC2" w:rsidP="00060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  <w:lang w:val="es-CR"/>
              </w:rPr>
              <w:t xml:space="preserve">En </w:t>
            </w:r>
            <w:r>
              <w:rPr>
                <w:rFonts w:ascii="Calibri" w:eastAsia="Calibri" w:hAnsi="Calibri" w:cs="Calibri"/>
                <w:lang w:val="es-CR"/>
              </w:rPr>
              <w:t>Chile</w:t>
            </w:r>
            <w:r>
              <w:rPr>
                <w:rFonts w:ascii="Calibri" w:eastAsia="Calibri" w:hAnsi="Calibri" w:cs="Calibri"/>
                <w:lang w:val="es-CR"/>
              </w:rPr>
              <w:t xml:space="preserve"> se cuenta con cámaras Gessel, las cuales permiten que NNA sean entrevistados por un equipo multidisciplinario para evitar la revictimización.</w:t>
            </w:r>
          </w:p>
        </w:tc>
      </w:tr>
      <w:tr w:rsidR="006B3617" w:rsidRPr="00920682" w14:paraId="2A0DFDA3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510AF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1EFBC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Asegurar que la legislación nacional otorgue a niñas, niños y adolescentes víctimas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 xml:space="preserve">el derecho a </w:t>
            </w:r>
          </w:p>
          <w:p w14:paraId="3D1E049B" w14:textId="7F96E053" w:rsidR="006B3617" w:rsidRPr="007B4101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b/>
                <w:lang w:val="es-CR"/>
              </w:rPr>
              <w:t>recibir apoyo en su recuperación y rehabilitación</w:t>
            </w:r>
            <w:r w:rsidRPr="007B4101">
              <w:rPr>
                <w:rFonts w:ascii="Calibri" w:eastAsia="Calibri" w:hAnsi="Calibri" w:cs="Calibri"/>
                <w:lang w:val="es-CR"/>
              </w:rPr>
              <w:t>, incluido el acceso a los servicios de reintegración.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91E3" w14:textId="220997AB" w:rsidR="006B3617" w:rsidRDefault="00105206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C48B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Ley Nº20.032 establece un sistema de atención a la niñez y adolescencia a través de la red de colaboradores del SENAME, y su régimen de subvención. La ley asegura el respeto, la promoción, la reparación, la rehabilitación, la restitución y la protección de los derechos de las NNA víctimas, incluyendo la prestación de servicios de apoyo y reintegración personalizados (artículos 2 y 4).</w:t>
            </w:r>
          </w:p>
          <w:p w14:paraId="16CF4EC8" w14:textId="16410B53" w:rsidR="006B3617" w:rsidRPr="007B4101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La ley se aplica tanto a nacionales como no nacionales.</w:t>
            </w:r>
          </w:p>
        </w:tc>
      </w:tr>
      <w:tr w:rsidR="006B3617" w:rsidRPr="00920682" w14:paraId="5EC062E8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2BC8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89601" w14:textId="77777777" w:rsidR="006B3617" w:rsidRPr="007B4101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7B4101">
              <w:rPr>
                <w:rFonts w:ascii="Calibri" w:eastAsia="Calibri" w:hAnsi="Calibri" w:cs="Calibri"/>
                <w:lang w:val="es-CR"/>
              </w:rPr>
              <w:t xml:space="preserve">Establecer </w:t>
            </w:r>
            <w:r w:rsidRPr="007B4101">
              <w:rPr>
                <w:rFonts w:ascii="Calibri" w:eastAsia="Calibri" w:hAnsi="Calibri" w:cs="Calibri"/>
                <w:b/>
                <w:lang w:val="es-CR"/>
              </w:rPr>
              <w:t xml:space="preserve">un mecanismo nacional de denuncia </w:t>
            </w:r>
            <w:r w:rsidRPr="007B4101">
              <w:rPr>
                <w:rFonts w:ascii="Calibri" w:eastAsia="Calibri" w:hAnsi="Calibri" w:cs="Calibri"/>
                <w:lang w:val="es-CR"/>
              </w:rPr>
              <w:t xml:space="preserve">(por ejemplo, una línea directa) que coordine el </w:t>
            </w:r>
          </w:p>
          <w:p w14:paraId="063FA47F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acceso a los servicios y ayude a superar la renuencia a denunciar la explotación sexual de niñas, </w:t>
            </w:r>
          </w:p>
          <w:p w14:paraId="1B448222" w14:textId="529640A0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proofErr w:type="gramStart"/>
            <w:r w:rsidRPr="00D96FA7">
              <w:rPr>
                <w:rFonts w:ascii="Calibri" w:eastAsia="Calibri" w:hAnsi="Calibri" w:cs="Calibri"/>
              </w:rPr>
              <w:t>niños</w:t>
            </w:r>
            <w:proofErr w:type="gramEnd"/>
            <w:r w:rsidRPr="00D96FA7">
              <w:rPr>
                <w:rFonts w:ascii="Calibri" w:eastAsia="Calibri" w:hAnsi="Calibri" w:cs="Calibri"/>
              </w:rPr>
              <w:t xml:space="preserve"> y adolescentes.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10A2D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4BEB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 Chile, existe el Fono Familia de Carabineros (149 /147), para los casos de maltrato, abusos sexuales y violencia intrafamiliar. Funciona las 24 horas del día, todos los días del año. En este teléfono se puede pedir orientación, realizar denuncias y/o solicitar la concurrencia de Carabineros en caso que se requiera. </w:t>
            </w:r>
          </w:p>
          <w:p w14:paraId="6098506F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También existe el Servicio Nacional de Menores (800 730 800) para denunciar situaciones de vulneración de derechos de niños/as, maltrato infantil y abuso sexual. Funciona las 24 horas del día, todos los días del año.</w:t>
            </w:r>
          </w:p>
          <w:p w14:paraId="4E5298E7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11932D9" w14:textId="51C0A2F2" w:rsidR="006B3617" w:rsidRPr="00C8327E" w:rsidRDefault="00105206" w:rsidP="001052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>
              <w:rPr>
                <w:rFonts w:ascii="Calibri" w:eastAsia="Calibri" w:hAnsi="Calibri" w:cs="Calibri"/>
              </w:rPr>
              <w:t>Además, la Ley Nº 21.057 que regula entrevistas grabadas en video y, otra medidas de resguardo a menores de edad, víctimas de delitos sexuales, en su artículo 4, especifica las normas de protección respecto al sistema de denuncia cuando efectuada por NNA.</w:t>
            </w:r>
          </w:p>
        </w:tc>
      </w:tr>
      <w:tr w:rsidR="006B3617" w14:paraId="018D1366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F4157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03E02" w14:textId="77777777" w:rsidR="006B3617" w:rsidRPr="00214A3C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214A3C">
              <w:rPr>
                <w:rFonts w:ascii="Calibri" w:eastAsia="Calibri" w:hAnsi="Calibri" w:cs="Calibri"/>
                <w:lang w:val="es-CR"/>
              </w:rPr>
              <w:t xml:space="preserve">Crear leyes, reglamentos y procedimientos de </w:t>
            </w:r>
            <w:r w:rsidRPr="00214A3C">
              <w:rPr>
                <w:rFonts w:ascii="Calibri" w:eastAsia="Calibri" w:hAnsi="Calibri" w:cs="Calibri"/>
                <w:b/>
                <w:lang w:val="es-CR"/>
              </w:rPr>
              <w:t xml:space="preserve">retención y preservación de datos </w:t>
            </w:r>
            <w:r w:rsidRPr="00214A3C">
              <w:rPr>
                <w:rFonts w:ascii="Calibri" w:eastAsia="Calibri" w:hAnsi="Calibri" w:cs="Calibri"/>
                <w:lang w:val="es-CR"/>
              </w:rPr>
              <w:t xml:space="preserve">para asegurar la retención y preservación de evidencia digital y permitir la cooperación con las fuerzas del orden </w:t>
            </w:r>
          </w:p>
          <w:p w14:paraId="4817C91D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 xml:space="preserve">que se aplica a los ISP, empresas de telefonía móvil, empresas de comunicación y redes sociales </w:t>
            </w:r>
          </w:p>
          <w:p w14:paraId="199A5F07" w14:textId="538B3713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digitales, empresas de almacenamiento en la nube, con sede en / operando en jurisdicción nacional.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C60C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91525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6B3617" w:rsidRPr="00920682" w14:paraId="7957AD4E" w14:textId="77777777"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D359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24.</w:t>
            </w:r>
          </w:p>
          <w:p w14:paraId="2511C604" w14:textId="77777777" w:rsidR="006B3617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B3FB0" w14:textId="77777777" w:rsidR="006B3617" w:rsidRPr="00214A3C" w:rsidRDefault="006B3617" w:rsidP="006B3617">
            <w:pPr>
              <w:spacing w:line="240" w:lineRule="auto"/>
              <w:rPr>
                <w:rFonts w:ascii="Calibri" w:eastAsia="Calibri" w:hAnsi="Calibri" w:cs="Calibri"/>
                <w:b/>
                <w:lang w:val="es-CR"/>
              </w:rPr>
            </w:pPr>
            <w:r w:rsidRPr="00214A3C">
              <w:rPr>
                <w:rFonts w:ascii="Calibri" w:eastAsia="Calibri" w:hAnsi="Calibri" w:cs="Calibri"/>
                <w:lang w:val="es-CR"/>
              </w:rPr>
              <w:t xml:space="preserve">Garantizar que la legislación nacional establezca </w:t>
            </w:r>
            <w:r w:rsidRPr="00214A3C">
              <w:rPr>
                <w:rFonts w:ascii="Calibri" w:eastAsia="Calibri" w:hAnsi="Calibri" w:cs="Calibri"/>
                <w:b/>
                <w:lang w:val="es-CR"/>
              </w:rPr>
              <w:t xml:space="preserve">el derecho para todos niñas, niños y adolescentes </w:t>
            </w:r>
          </w:p>
          <w:p w14:paraId="52170FAA" w14:textId="77777777" w:rsidR="006B3617" w:rsidRPr="00C8327E" w:rsidRDefault="006B3617" w:rsidP="006B3617">
            <w:pP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b/>
                <w:lang w:val="es-CR"/>
              </w:rPr>
              <w:t>víctimas de explotación sexual a solicitar una indemnización</w:t>
            </w:r>
            <w:r w:rsidRPr="00C8327E">
              <w:rPr>
                <w:rFonts w:ascii="Calibri" w:eastAsia="Calibri" w:hAnsi="Calibri" w:cs="Calibri"/>
                <w:lang w:val="es-CR"/>
              </w:rPr>
              <w:t xml:space="preserve"> en los tribunales nacionales de los </w:t>
            </w:r>
          </w:p>
          <w:p w14:paraId="35E64DC6" w14:textId="59C0C698" w:rsidR="006B3617" w:rsidRPr="00C8327E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es-CR"/>
              </w:rPr>
            </w:pPr>
            <w:r w:rsidRPr="00C8327E">
              <w:rPr>
                <w:rFonts w:ascii="Calibri" w:eastAsia="Calibri" w:hAnsi="Calibri" w:cs="Calibri"/>
                <w:lang w:val="es-CR"/>
              </w:rPr>
              <w:t>culpables condenados que les hayan hecho daño y / o mediante fondos administrados por el Estado.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27D9B" w14:textId="77777777" w:rsidR="006B3617" w:rsidRDefault="006B3617" w:rsidP="006B3617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Sí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5A69E" w14:textId="77777777" w:rsidR="00105206" w:rsidRDefault="00105206" w:rsidP="00105206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Artículo 24 del Código Penal establece que toda sentencia condenatoria en materia criminal lleva envuelta la obligación de pagar las costas, daños y perjuicios por parte de los autores, cómplices, encubridores y demás personas legalmente responsables.</w:t>
            </w:r>
          </w:p>
          <w:p w14:paraId="14D98F35" w14:textId="772399F1" w:rsidR="006B3617" w:rsidRPr="00105206" w:rsidRDefault="006B3617" w:rsidP="006B3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33A08D5C" w14:textId="77777777" w:rsidR="007B6F44" w:rsidRPr="00214A3C" w:rsidRDefault="007B6F44">
      <w:pPr>
        <w:rPr>
          <w:rFonts w:ascii="Calibri" w:eastAsia="Calibri" w:hAnsi="Calibri" w:cs="Calibri"/>
          <w:lang w:val="es-CR"/>
        </w:rPr>
      </w:pPr>
    </w:p>
    <w:p w14:paraId="315BDE5C" w14:textId="307D7310" w:rsidR="007B6F44" w:rsidRPr="00214A3C" w:rsidRDefault="007B6F44">
      <w:pPr>
        <w:jc w:val="center"/>
        <w:rPr>
          <w:rFonts w:ascii="Calibri" w:eastAsia="Calibri" w:hAnsi="Calibri" w:cs="Calibri"/>
          <w:b/>
          <w:lang w:val="es-CR"/>
        </w:rPr>
      </w:pPr>
    </w:p>
    <w:p w14:paraId="2C6E4464" w14:textId="2FE4077E" w:rsidR="007B6F44" w:rsidRPr="00214A3C" w:rsidRDefault="00105206">
      <w:pPr>
        <w:jc w:val="center"/>
        <w:rPr>
          <w:rFonts w:ascii="Calibri" w:eastAsia="Calibri" w:hAnsi="Calibri" w:cs="Calibri"/>
          <w:b/>
          <w:lang w:val="es-CR"/>
        </w:rPr>
      </w:pPr>
      <w:r>
        <w:rPr>
          <w:rFonts w:ascii="Calibri" w:eastAsia="Calibri" w:hAnsi="Calibri" w:cs="Calibri"/>
          <w:b/>
          <w:lang w:val="es-CR"/>
        </w:rPr>
        <w:t>Chile</w:t>
      </w:r>
      <w:r w:rsidR="00E727AB" w:rsidRPr="00214A3C">
        <w:rPr>
          <w:rFonts w:ascii="Calibri" w:eastAsia="Calibri" w:hAnsi="Calibri" w:cs="Calibri"/>
          <w:b/>
          <w:lang w:val="es-CR"/>
        </w:rPr>
        <w:t xml:space="preserve"> - Legislación </w:t>
      </w:r>
    </w:p>
    <w:p w14:paraId="1D42896C" w14:textId="77777777" w:rsidR="007B6F44" w:rsidRPr="00214A3C" w:rsidRDefault="007B6F44">
      <w:pPr>
        <w:rPr>
          <w:rFonts w:ascii="Calibri" w:eastAsia="Calibri" w:hAnsi="Calibri" w:cs="Calibri"/>
          <w:lang w:val="es-CR"/>
        </w:rPr>
      </w:pPr>
    </w:p>
    <w:p w14:paraId="75C93EBE" w14:textId="5F8FCA3E" w:rsidR="00105206" w:rsidRDefault="00F22EC2" w:rsidP="00105206">
      <w:pPr>
        <w:spacing w:line="240" w:lineRule="auto"/>
        <w:rPr>
          <w:rFonts w:ascii="Calibri" w:eastAsia="Calibri" w:hAnsi="Calibri" w:cs="Calibri"/>
        </w:rPr>
      </w:pPr>
      <w:hyperlink r:id="rId12" w:history="1">
        <w:r w:rsidR="00105206" w:rsidRPr="00105206">
          <w:rPr>
            <w:rStyle w:val="Hyperlink"/>
            <w:rFonts w:ascii="Calibri" w:eastAsia="Calibri" w:hAnsi="Calibri" w:cs="Calibri"/>
          </w:rPr>
          <w:t>Código Penal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44790033" w14:textId="77777777" w:rsidR="00105206" w:rsidRDefault="00105206" w:rsidP="00105206">
      <w:pPr>
        <w:spacing w:line="240" w:lineRule="auto"/>
        <w:rPr>
          <w:rFonts w:ascii="Calibri" w:eastAsia="Calibri" w:hAnsi="Calibri" w:cs="Calibri"/>
        </w:rPr>
      </w:pPr>
    </w:p>
    <w:p w14:paraId="7109840F" w14:textId="07C409FA" w:rsidR="00105206" w:rsidRDefault="00F22EC2" w:rsidP="00105206">
      <w:pPr>
        <w:spacing w:line="240" w:lineRule="auto"/>
        <w:rPr>
          <w:rFonts w:ascii="Calibri" w:eastAsia="Calibri" w:hAnsi="Calibri" w:cs="Calibri"/>
        </w:rPr>
      </w:pPr>
      <w:hyperlink r:id="rId13" w:history="1">
        <w:r w:rsidR="00105206" w:rsidRPr="00105206">
          <w:rPr>
            <w:rStyle w:val="Hyperlink"/>
            <w:rFonts w:ascii="Calibri" w:eastAsia="Calibri" w:hAnsi="Calibri" w:cs="Calibri"/>
          </w:rPr>
          <w:t>Código Procesal Penal</w:t>
        </w:r>
      </w:hyperlink>
    </w:p>
    <w:p w14:paraId="151C23FF" w14:textId="77777777" w:rsidR="00105206" w:rsidRDefault="00105206" w:rsidP="00105206">
      <w:pPr>
        <w:spacing w:line="240" w:lineRule="auto"/>
        <w:rPr>
          <w:rFonts w:ascii="Calibri" w:eastAsia="Calibri" w:hAnsi="Calibri" w:cs="Calibri"/>
        </w:rPr>
      </w:pPr>
    </w:p>
    <w:p w14:paraId="739D9A84" w14:textId="628ABF8B" w:rsidR="00105206" w:rsidRDefault="00F22EC2" w:rsidP="00105206">
      <w:pPr>
        <w:spacing w:line="240" w:lineRule="auto"/>
        <w:rPr>
          <w:rFonts w:ascii="Calibri" w:eastAsia="Calibri" w:hAnsi="Calibri" w:cs="Calibri"/>
        </w:rPr>
      </w:pPr>
      <w:hyperlink r:id="rId14" w:history="1">
        <w:r w:rsidR="00105206" w:rsidRPr="00105206">
          <w:rPr>
            <w:rStyle w:val="Hyperlink"/>
            <w:rFonts w:ascii="Calibri" w:eastAsia="Calibri" w:hAnsi="Calibri" w:cs="Calibri"/>
          </w:rPr>
          <w:t xml:space="preserve">Código </w:t>
        </w:r>
        <w:proofErr w:type="gramStart"/>
        <w:r w:rsidR="00105206" w:rsidRPr="00105206">
          <w:rPr>
            <w:rStyle w:val="Hyperlink"/>
            <w:rFonts w:ascii="Calibri" w:eastAsia="Calibri" w:hAnsi="Calibri" w:cs="Calibri"/>
          </w:rPr>
          <w:t>Civil:</w:t>
        </w:r>
        <w:proofErr w:type="gramEnd"/>
      </w:hyperlink>
    </w:p>
    <w:p w14:paraId="003DB298" w14:textId="77777777" w:rsidR="00105206" w:rsidRDefault="00105206" w:rsidP="00105206">
      <w:pPr>
        <w:spacing w:line="240" w:lineRule="auto"/>
        <w:rPr>
          <w:rFonts w:ascii="Calibri" w:eastAsia="Calibri" w:hAnsi="Calibri" w:cs="Calibri"/>
        </w:rPr>
      </w:pPr>
    </w:p>
    <w:p w14:paraId="59F90F6A" w14:textId="6AD1C403" w:rsidR="00105206" w:rsidRDefault="00F22EC2" w:rsidP="00105206">
      <w:pPr>
        <w:shd w:val="clear" w:color="auto" w:fill="FFFFFF"/>
        <w:spacing w:before="160" w:after="160" w:line="240" w:lineRule="auto"/>
        <w:rPr>
          <w:rFonts w:ascii="Calibri" w:eastAsia="Calibri" w:hAnsi="Calibri" w:cs="Calibri"/>
        </w:rPr>
      </w:pPr>
      <w:hyperlink r:id="rId15" w:history="1">
        <w:r w:rsidR="00105206" w:rsidRPr="00105206">
          <w:rPr>
            <w:rStyle w:val="Hyperlink"/>
            <w:rFonts w:ascii="Calibri" w:eastAsia="Calibri" w:hAnsi="Calibri" w:cs="Calibri"/>
          </w:rPr>
          <w:t>Ley Nº20.</w:t>
        </w:r>
        <w:proofErr w:type="gramStart"/>
        <w:r w:rsidR="00105206" w:rsidRPr="00105206">
          <w:rPr>
            <w:rStyle w:val="Hyperlink"/>
            <w:rFonts w:ascii="Calibri" w:eastAsia="Calibri" w:hAnsi="Calibri" w:cs="Calibri"/>
          </w:rPr>
          <w:t>594:</w:t>
        </w:r>
        <w:proofErr w:type="gramEnd"/>
        <w:r w:rsidR="00105206" w:rsidRPr="00105206">
          <w:rPr>
            <w:rStyle w:val="Hyperlink"/>
            <w:rFonts w:ascii="Calibri" w:eastAsia="Calibri" w:hAnsi="Calibri" w:cs="Calibri"/>
          </w:rPr>
          <w:t xml:space="preserve"> Crea inhabilidades para condenados por delitos sexuales contra menores y establece registro de dichas inhabilidades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42D13711" w14:textId="77777777" w:rsidR="00105206" w:rsidRDefault="00105206" w:rsidP="00105206">
      <w:pPr>
        <w:spacing w:line="240" w:lineRule="auto"/>
        <w:rPr>
          <w:rFonts w:ascii="Calibri" w:eastAsia="Calibri" w:hAnsi="Calibri" w:cs="Calibri"/>
        </w:rPr>
      </w:pPr>
    </w:p>
    <w:p w14:paraId="2CEAF0A9" w14:textId="70DAB779" w:rsidR="00105206" w:rsidRDefault="00F22EC2" w:rsidP="00105206">
      <w:pPr>
        <w:spacing w:line="240" w:lineRule="auto"/>
      </w:pPr>
      <w:hyperlink r:id="rId16" w:history="1">
        <w:r w:rsidR="00105206" w:rsidRPr="00105206">
          <w:rPr>
            <w:rStyle w:val="Hyperlink"/>
            <w:rFonts w:ascii="Calibri" w:eastAsia="Calibri" w:hAnsi="Calibri" w:cs="Calibri"/>
          </w:rPr>
          <w:t>Ley Nº20.</w:t>
        </w:r>
        <w:proofErr w:type="gramStart"/>
        <w:r w:rsidR="00105206" w:rsidRPr="00105206">
          <w:rPr>
            <w:rStyle w:val="Hyperlink"/>
            <w:rFonts w:ascii="Calibri" w:eastAsia="Calibri" w:hAnsi="Calibri" w:cs="Calibri"/>
          </w:rPr>
          <w:t>526:</w:t>
        </w:r>
        <w:proofErr w:type="gramEnd"/>
        <w:r w:rsidR="00105206" w:rsidRPr="00105206">
          <w:rPr>
            <w:rStyle w:val="Hyperlink"/>
            <w:rFonts w:ascii="Calibri" w:eastAsia="Calibri" w:hAnsi="Calibri" w:cs="Calibri"/>
          </w:rPr>
          <w:t xml:space="preserve"> Sanciona el acoso sexual de menores, la pornografía infantil virtual y la posesión de material pornográfico infantil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11BDA1BC" w14:textId="77777777" w:rsidR="00105206" w:rsidRDefault="00105206" w:rsidP="00105206">
      <w:pPr>
        <w:spacing w:line="240" w:lineRule="auto"/>
        <w:rPr>
          <w:rFonts w:ascii="Calibri" w:eastAsia="Calibri" w:hAnsi="Calibri" w:cs="Calibri"/>
        </w:rPr>
      </w:pPr>
    </w:p>
    <w:p w14:paraId="4C1F603B" w14:textId="060A8581" w:rsidR="00105206" w:rsidRDefault="00F22EC2" w:rsidP="00105206">
      <w:pPr>
        <w:spacing w:line="240" w:lineRule="auto"/>
        <w:rPr>
          <w:rFonts w:ascii="Calibri" w:eastAsia="Calibri" w:hAnsi="Calibri" w:cs="Calibri"/>
        </w:rPr>
      </w:pPr>
      <w:hyperlink r:id="rId17" w:history="1">
        <w:r w:rsidR="00105206" w:rsidRPr="00105206">
          <w:rPr>
            <w:rStyle w:val="Hyperlink"/>
            <w:rFonts w:ascii="Calibri" w:eastAsia="Calibri" w:hAnsi="Calibri" w:cs="Calibri"/>
          </w:rPr>
          <w:t>Ley Nº20.</w:t>
        </w:r>
        <w:proofErr w:type="gramStart"/>
        <w:r w:rsidR="00105206" w:rsidRPr="00105206">
          <w:rPr>
            <w:rStyle w:val="Hyperlink"/>
            <w:rFonts w:ascii="Calibri" w:eastAsia="Calibri" w:hAnsi="Calibri" w:cs="Calibri"/>
          </w:rPr>
          <w:t>507:</w:t>
        </w:r>
        <w:proofErr w:type="gramEnd"/>
        <w:r w:rsidR="00105206" w:rsidRPr="00105206">
          <w:rPr>
            <w:rStyle w:val="Hyperlink"/>
            <w:rFonts w:ascii="Calibri" w:eastAsia="Calibri" w:hAnsi="Calibri" w:cs="Calibri"/>
          </w:rPr>
          <w:t xml:space="preserve"> Tipifica los delitos de tráfico ilícito de migrantes y trata de personas y establece normas para su prevención y más efectiva persecución criminal: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6ABB934B" w14:textId="77777777" w:rsidR="00105206" w:rsidRDefault="00105206" w:rsidP="00105206">
      <w:pPr>
        <w:spacing w:line="240" w:lineRule="auto"/>
        <w:rPr>
          <w:rFonts w:ascii="Calibri" w:eastAsia="Calibri" w:hAnsi="Calibri" w:cs="Calibri"/>
        </w:rPr>
      </w:pPr>
    </w:p>
    <w:p w14:paraId="390E989C" w14:textId="5CB454CF" w:rsidR="00105206" w:rsidRDefault="00F22EC2" w:rsidP="00105206">
      <w:pPr>
        <w:spacing w:line="240" w:lineRule="auto"/>
        <w:rPr>
          <w:rFonts w:ascii="Calibri" w:eastAsia="Calibri" w:hAnsi="Calibri" w:cs="Calibri"/>
        </w:rPr>
      </w:pPr>
      <w:hyperlink r:id="rId18" w:history="1">
        <w:proofErr w:type="gramStart"/>
        <w:r w:rsidR="00105206" w:rsidRPr="00105206">
          <w:rPr>
            <w:rStyle w:val="Hyperlink"/>
            <w:rFonts w:ascii="Calibri" w:eastAsia="Calibri" w:hAnsi="Calibri" w:cs="Calibri"/>
          </w:rPr>
          <w:t>Constitucion:</w:t>
        </w:r>
        <w:proofErr w:type="gramEnd"/>
      </w:hyperlink>
      <w:r w:rsidR="00105206">
        <w:rPr>
          <w:rFonts w:ascii="Calibri" w:eastAsia="Calibri" w:hAnsi="Calibri" w:cs="Calibri"/>
        </w:rPr>
        <w:t xml:space="preserve"> </w:t>
      </w:r>
    </w:p>
    <w:p w14:paraId="000175E3" w14:textId="77777777" w:rsidR="00105206" w:rsidRDefault="00105206" w:rsidP="00105206">
      <w:pPr>
        <w:spacing w:line="240" w:lineRule="auto"/>
        <w:rPr>
          <w:rFonts w:ascii="Calibri" w:eastAsia="Calibri" w:hAnsi="Calibri" w:cs="Calibri"/>
        </w:rPr>
      </w:pPr>
    </w:p>
    <w:p w14:paraId="53143771" w14:textId="51ABB77C" w:rsidR="00105206" w:rsidRDefault="00F22EC2" w:rsidP="00105206">
      <w:pPr>
        <w:shd w:val="clear" w:color="auto" w:fill="FFFFFF"/>
        <w:spacing w:after="300" w:line="240" w:lineRule="auto"/>
        <w:rPr>
          <w:rFonts w:ascii="Calibri" w:eastAsia="Calibri" w:hAnsi="Calibri" w:cs="Calibri"/>
        </w:rPr>
      </w:pPr>
      <w:hyperlink r:id="rId19" w:history="1">
        <w:r w:rsidR="00105206" w:rsidRPr="00105206">
          <w:rPr>
            <w:rStyle w:val="Hyperlink"/>
            <w:rFonts w:ascii="Calibri" w:eastAsia="Calibri" w:hAnsi="Calibri" w:cs="Calibri"/>
          </w:rPr>
          <w:t>Ley Nº20.</w:t>
        </w:r>
        <w:proofErr w:type="gramStart"/>
        <w:r w:rsidR="00105206" w:rsidRPr="00105206">
          <w:rPr>
            <w:rStyle w:val="Hyperlink"/>
            <w:rFonts w:ascii="Calibri" w:eastAsia="Calibri" w:hAnsi="Calibri" w:cs="Calibri"/>
          </w:rPr>
          <w:t>379:</w:t>
        </w:r>
        <w:proofErr w:type="gramEnd"/>
        <w:r w:rsidR="00105206" w:rsidRPr="00105206">
          <w:rPr>
            <w:rStyle w:val="Hyperlink"/>
            <w:rFonts w:ascii="Calibri" w:eastAsia="Calibri" w:hAnsi="Calibri" w:cs="Calibri"/>
          </w:rPr>
          <w:t xml:space="preserve"> Crea el sistema intersectorial de protección social e institucionaliza el subsistema de protección integral a la infancia "CHILE CRECE CONTIGO"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499FC9CF" w14:textId="72606719" w:rsidR="00105206" w:rsidRDefault="00F22EC2" w:rsidP="00105206">
      <w:pPr>
        <w:shd w:val="clear" w:color="auto" w:fill="FFFFFF"/>
        <w:spacing w:after="300" w:line="240" w:lineRule="auto"/>
        <w:rPr>
          <w:rFonts w:ascii="Calibri" w:eastAsia="Calibri" w:hAnsi="Calibri" w:cs="Calibri"/>
        </w:rPr>
      </w:pPr>
      <w:hyperlink r:id="rId20" w:history="1">
        <w:r w:rsidR="00105206" w:rsidRPr="00105206">
          <w:rPr>
            <w:rStyle w:val="Hyperlink"/>
            <w:rFonts w:ascii="Calibri" w:eastAsia="Calibri" w:hAnsi="Calibri" w:cs="Calibri"/>
          </w:rPr>
          <w:t>Ley Nº20.</w:t>
        </w:r>
        <w:proofErr w:type="gramStart"/>
        <w:r w:rsidR="00105206" w:rsidRPr="00105206">
          <w:rPr>
            <w:rStyle w:val="Hyperlink"/>
            <w:rFonts w:ascii="Calibri" w:eastAsia="Calibri" w:hAnsi="Calibri" w:cs="Calibri"/>
          </w:rPr>
          <w:t>032:</w:t>
        </w:r>
        <w:proofErr w:type="gramEnd"/>
        <w:r w:rsidR="00105206" w:rsidRPr="00105206">
          <w:rPr>
            <w:rStyle w:val="Hyperlink"/>
            <w:rFonts w:ascii="Calibri" w:eastAsia="Calibri" w:hAnsi="Calibri" w:cs="Calibri"/>
          </w:rPr>
          <w:t xml:space="preserve"> Establece sistema de atención a la niñez y adolescencia a través de la red de colaboradores del SENAME, y su régimen de subvención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120DF726" w14:textId="32209299" w:rsidR="00105206" w:rsidRDefault="00F22EC2" w:rsidP="00105206">
      <w:pPr>
        <w:shd w:val="clear" w:color="auto" w:fill="FFFFFF"/>
        <w:spacing w:after="300" w:line="240" w:lineRule="auto"/>
        <w:rPr>
          <w:rFonts w:ascii="Calibri" w:eastAsia="Calibri" w:hAnsi="Calibri" w:cs="Calibri"/>
        </w:rPr>
      </w:pPr>
      <w:hyperlink r:id="rId21" w:history="1">
        <w:r w:rsidR="00105206" w:rsidRPr="00105206">
          <w:rPr>
            <w:rStyle w:val="Hyperlink"/>
            <w:rFonts w:ascii="Calibri" w:eastAsia="Calibri" w:hAnsi="Calibri" w:cs="Calibri"/>
          </w:rPr>
          <w:t>Código del Trabajo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3CCF2454" w14:textId="7413BC58" w:rsidR="00105206" w:rsidRDefault="00F22EC2" w:rsidP="00105206">
      <w:pPr>
        <w:shd w:val="clear" w:color="auto" w:fill="FFFFFF"/>
        <w:spacing w:after="300" w:line="240" w:lineRule="auto"/>
        <w:rPr>
          <w:rFonts w:ascii="Calibri" w:eastAsia="Calibri" w:hAnsi="Calibri" w:cs="Calibri"/>
        </w:rPr>
      </w:pPr>
      <w:hyperlink r:id="rId22" w:history="1">
        <w:r w:rsidR="00105206" w:rsidRPr="00105206">
          <w:rPr>
            <w:rStyle w:val="Hyperlink"/>
            <w:rFonts w:ascii="Calibri" w:eastAsia="Calibri" w:hAnsi="Calibri" w:cs="Calibri"/>
          </w:rPr>
          <w:t>Ley Nº 21.057: Regula entrevistas grabadas en video y, otra medidas de resguardo a menores de edad, víctimas de delitos sexuales</w:t>
        </w:r>
      </w:hyperlink>
      <w:r w:rsidR="00105206">
        <w:rPr>
          <w:rFonts w:ascii="Calibri" w:eastAsia="Calibri" w:hAnsi="Calibri" w:cs="Calibri"/>
        </w:rPr>
        <w:t xml:space="preserve"> </w:t>
      </w:r>
    </w:p>
    <w:p w14:paraId="1EA1488B" w14:textId="234DABEC" w:rsidR="007B6F44" w:rsidRPr="00214A3C" w:rsidRDefault="007B6F44" w:rsidP="00105206">
      <w:pPr>
        <w:rPr>
          <w:rFonts w:ascii="Calibri" w:eastAsia="Calibri" w:hAnsi="Calibri" w:cs="Calibri"/>
          <w:lang w:val="es-CR"/>
        </w:rPr>
      </w:pPr>
    </w:p>
    <w:sectPr w:rsidR="007B6F44" w:rsidRPr="00214A3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F25"/>
    <w:multiLevelType w:val="hybridMultilevel"/>
    <w:tmpl w:val="F528AA34"/>
    <w:lvl w:ilvl="0" w:tplc="C542FAC4">
      <w:start w:val="56"/>
      <w:numFmt w:val="bullet"/>
      <w:lvlText w:val="-"/>
      <w:lvlJc w:val="left"/>
      <w:pPr>
        <w:ind w:left="500" w:hanging="36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130F5364"/>
    <w:multiLevelType w:val="multilevel"/>
    <w:tmpl w:val="B02E461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47B35FC4"/>
    <w:multiLevelType w:val="multilevel"/>
    <w:tmpl w:val="5CE88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5C1D49"/>
    <w:multiLevelType w:val="multilevel"/>
    <w:tmpl w:val="4BCC4C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083897"/>
    <w:multiLevelType w:val="multilevel"/>
    <w:tmpl w:val="8E9EB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933C07"/>
    <w:multiLevelType w:val="multilevel"/>
    <w:tmpl w:val="0E2299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643777111">
    <w:abstractNumId w:val="5"/>
  </w:num>
  <w:num w:numId="2" w16cid:durableId="224415651">
    <w:abstractNumId w:val="3"/>
  </w:num>
  <w:num w:numId="3" w16cid:durableId="1180436035">
    <w:abstractNumId w:val="1"/>
  </w:num>
  <w:num w:numId="4" w16cid:durableId="961766252">
    <w:abstractNumId w:val="0"/>
  </w:num>
  <w:num w:numId="5" w16cid:durableId="1685086627">
    <w:abstractNumId w:val="2"/>
  </w:num>
  <w:num w:numId="6" w16cid:durableId="1791119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44"/>
    <w:rsid w:val="00060025"/>
    <w:rsid w:val="00105206"/>
    <w:rsid w:val="00214A3C"/>
    <w:rsid w:val="00306FAF"/>
    <w:rsid w:val="003473D9"/>
    <w:rsid w:val="00372AFD"/>
    <w:rsid w:val="00436C0B"/>
    <w:rsid w:val="005B6BEE"/>
    <w:rsid w:val="005E64E6"/>
    <w:rsid w:val="006B3617"/>
    <w:rsid w:val="007557BA"/>
    <w:rsid w:val="007B4101"/>
    <w:rsid w:val="007B6F44"/>
    <w:rsid w:val="00853DE5"/>
    <w:rsid w:val="009137A4"/>
    <w:rsid w:val="00920682"/>
    <w:rsid w:val="00934C77"/>
    <w:rsid w:val="00A57FF2"/>
    <w:rsid w:val="00C8327E"/>
    <w:rsid w:val="00CC4EA1"/>
    <w:rsid w:val="00D63867"/>
    <w:rsid w:val="00DC5AE3"/>
    <w:rsid w:val="00E30EF8"/>
    <w:rsid w:val="00E36169"/>
    <w:rsid w:val="00E727AB"/>
    <w:rsid w:val="00F22EC2"/>
    <w:rsid w:val="00F5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12FDA"/>
  <w15:docId w15:val="{78DD9AF7-3E58-410E-AB36-EE12CCC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9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F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C2E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727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5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pat.org/wp-content/uploads/2021/10/SECTT-Checklist_SPA.pdf" TargetMode="External"/><Relationship Id="rId13" Type="http://schemas.openxmlformats.org/officeDocument/2006/relationships/hyperlink" Target="https://www.leychile.cl/Navegar?idNorma=176595" TargetMode="External"/><Relationship Id="rId18" Type="http://schemas.openxmlformats.org/officeDocument/2006/relationships/hyperlink" Target="https://www.leychile.cl/Navegar?idNorma=24230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ychile.cl/Navegar?idNorma=207436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leychile.cl/Navegar?idNorma=1984&amp;idParte=" TargetMode="External"/><Relationship Id="rId17" Type="http://schemas.openxmlformats.org/officeDocument/2006/relationships/hyperlink" Target="https://www.leychile.cl/Navegar?idNorma=10243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ychile.cl/Navegar?idNorma=1028636" TargetMode="External"/><Relationship Id="rId20" Type="http://schemas.openxmlformats.org/officeDocument/2006/relationships/hyperlink" Target="https://www.leychile.cl/Navegar?idNorma=24037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cpat.org/wp-content/uploads/2021/09/Assesment-Matrix_2021SEP_SPA_v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leychile.cl/Navegar?idNorma=10411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pat.org/wp-content/uploads/2021/08/SECTT-Lista-de-verficacion_SP_Nota-explicativa.pdf" TargetMode="External"/><Relationship Id="rId19" Type="http://schemas.openxmlformats.org/officeDocument/2006/relationships/hyperlink" Target="https://www.leychile.cl/Navegar?idNorma=10060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pat.org/wp-content/uploads/2021/08/Offender-on-the-Move_SPA_2018APR30_v5.pdf" TargetMode="External"/><Relationship Id="rId14" Type="http://schemas.openxmlformats.org/officeDocument/2006/relationships/hyperlink" Target="https://www.oas.org/dil/esp/Codigo_Civil_Chile.pdf" TargetMode="External"/><Relationship Id="rId22" Type="http://schemas.openxmlformats.org/officeDocument/2006/relationships/hyperlink" Target="https://www.leychile.cl/Navegar?idNorma=11139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xEaJiswQWt4QNKk4VGb9KlYtdQ==">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3512</Words>
  <Characters>20024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Varrella</dc:creator>
  <cp:lastModifiedBy>McKillop, M. (Mark)</cp:lastModifiedBy>
  <cp:revision>6</cp:revision>
  <dcterms:created xsi:type="dcterms:W3CDTF">2022-05-05T13:43:00Z</dcterms:created>
  <dcterms:modified xsi:type="dcterms:W3CDTF">2022-05-09T20:49:00Z</dcterms:modified>
</cp:coreProperties>
</file>