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0C377" w14:textId="705E2467" w:rsidR="008C63F0" w:rsidRPr="00680020" w:rsidRDefault="00FD1C61" w:rsidP="008C63F0">
      <w:pPr>
        <w:rPr>
          <w:rFonts w:cstheme="minorHAnsi"/>
          <w:lang w:val="en-GB"/>
        </w:rPr>
      </w:pPr>
      <w:r w:rsidRPr="00680020">
        <w:rPr>
          <w:rFonts w:cstheme="minorHAnsi"/>
          <w:noProof/>
        </w:rPr>
        <w:drawing>
          <wp:anchor distT="0" distB="0" distL="114300" distR="114300" simplePos="0" relativeHeight="251660288" behindDoc="0" locked="0" layoutInCell="1" allowOverlap="1" wp14:anchorId="3D76D6E4" wp14:editId="1517A244">
            <wp:simplePos x="0" y="0"/>
            <wp:positionH relativeFrom="column">
              <wp:posOffset>6964921</wp:posOffset>
            </wp:positionH>
            <wp:positionV relativeFrom="paragraph">
              <wp:posOffset>187569</wp:posOffset>
            </wp:positionV>
            <wp:extent cx="1079311" cy="716915"/>
            <wp:effectExtent l="0" t="0" r="63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79311" cy="716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52DE">
        <w:rPr>
          <w:rFonts w:ascii="Calibri-Bold" w:hAnsi="Calibri-Bold" w:cs="Calibri-Bold"/>
          <w:b/>
          <w:bCs/>
          <w:noProof/>
          <w:color w:val="02436F"/>
          <w:sz w:val="32"/>
          <w:szCs w:val="32"/>
        </w:rPr>
        <w:drawing>
          <wp:anchor distT="0" distB="0" distL="114300" distR="114300" simplePos="0" relativeHeight="251662336" behindDoc="1" locked="0" layoutInCell="1" allowOverlap="1" wp14:anchorId="2E8B7D31" wp14:editId="66A77A8D">
            <wp:simplePos x="0" y="0"/>
            <wp:positionH relativeFrom="column">
              <wp:posOffset>-77964</wp:posOffset>
            </wp:positionH>
            <wp:positionV relativeFrom="paragraph">
              <wp:posOffset>372745</wp:posOffset>
            </wp:positionV>
            <wp:extent cx="2292350" cy="731520"/>
            <wp:effectExtent l="0" t="0" r="6350" b="5080"/>
            <wp:wrapTight wrapText="bothSides">
              <wp:wrapPolygon edited="0">
                <wp:start x="0" y="0"/>
                <wp:lineTo x="0" y="21375"/>
                <wp:lineTo x="21540" y="21375"/>
                <wp:lineTo x="21540" y="0"/>
                <wp:lineTo x="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350" cy="731520"/>
                    </a:xfrm>
                    <a:prstGeom prst="rect">
                      <a:avLst/>
                    </a:prstGeom>
                    <a:noFill/>
                  </pic:spPr>
                </pic:pic>
              </a:graphicData>
            </a:graphic>
          </wp:anchor>
        </w:drawing>
      </w:r>
      <w:r w:rsidR="00B6521F">
        <w:rPr>
          <w:rFonts w:ascii="Calibri-Bold" w:hAnsi="Calibri-Bold" w:cs="Calibri-Bold"/>
          <w:b/>
          <w:bCs/>
          <w:color w:val="02436F"/>
          <w:sz w:val="32"/>
          <w:szCs w:val="32"/>
        </w:rPr>
        <w:t>Bhutan</w:t>
      </w:r>
    </w:p>
    <w:p w14:paraId="64576553" w14:textId="539562BE" w:rsidR="008C63F0" w:rsidRPr="00680020" w:rsidRDefault="008C63F0" w:rsidP="008C63F0">
      <w:pPr>
        <w:rPr>
          <w:rFonts w:cstheme="minorHAnsi"/>
          <w:lang w:val="en-GB"/>
        </w:rPr>
      </w:pPr>
    </w:p>
    <w:p w14:paraId="5FC358C9" w14:textId="77777777" w:rsidR="008C63F0" w:rsidRPr="00680020" w:rsidRDefault="008C63F0" w:rsidP="008C63F0">
      <w:pPr>
        <w:jc w:val="both"/>
        <w:rPr>
          <w:rFonts w:eastAsia="Calibri" w:cstheme="minorHAnsi"/>
        </w:rPr>
      </w:pPr>
    </w:p>
    <w:p w14:paraId="7608E2C7" w14:textId="77777777" w:rsidR="004052DE" w:rsidRDefault="004052DE" w:rsidP="008C63F0">
      <w:pPr>
        <w:jc w:val="both"/>
        <w:rPr>
          <w:rFonts w:eastAsia="Calibri" w:cstheme="minorHAnsi"/>
        </w:rPr>
      </w:pPr>
    </w:p>
    <w:p w14:paraId="1DE0E879" w14:textId="77777777" w:rsidR="004052DE" w:rsidRDefault="004052DE" w:rsidP="008C63F0">
      <w:pPr>
        <w:jc w:val="both"/>
        <w:rPr>
          <w:rFonts w:eastAsia="Calibri" w:cstheme="minorHAnsi"/>
        </w:rPr>
      </w:pPr>
    </w:p>
    <w:p w14:paraId="64320157" w14:textId="6A7ECF3B" w:rsidR="008C63F0" w:rsidRPr="00680020" w:rsidRDefault="008C63F0" w:rsidP="008C63F0">
      <w:pPr>
        <w:jc w:val="both"/>
        <w:rPr>
          <w:rFonts w:eastAsia="Calibri" w:cstheme="minorHAnsi"/>
        </w:rPr>
      </w:pPr>
      <w:r w:rsidRPr="00680020">
        <w:rPr>
          <w:rFonts w:eastAsia="Calibri" w:cstheme="minorHAnsi"/>
        </w:rPr>
        <w:t xml:space="preserve">ECPAT International has developed </w:t>
      </w:r>
      <w:hyperlink r:id="rId9" w:history="1">
        <w:r w:rsidRPr="00680020">
          <w:rPr>
            <w:rFonts w:eastAsia="Calibri" w:cstheme="minorHAnsi"/>
            <w:color w:val="0563C1"/>
            <w:u w:val="single"/>
          </w:rPr>
          <w:t>a legal checklist</w:t>
        </w:r>
      </w:hyperlink>
      <w:r w:rsidRPr="00680020">
        <w:rPr>
          <w:rFonts w:eastAsia="Calibri" w:cstheme="minorHAnsi"/>
        </w:rPr>
        <w:t xml:space="preserve"> for governments providing guidance for legal interventions and measures to adopt in order to improve their national legal frameworks. This will help to effectively address the crime of sexual exploitation of children in travel and tourism, including its online elements. </w:t>
      </w:r>
    </w:p>
    <w:p w14:paraId="6D6A5D24" w14:textId="4F8A51AD" w:rsidR="008C63F0" w:rsidRPr="00680020" w:rsidRDefault="008C63F0" w:rsidP="008C63F0">
      <w:pPr>
        <w:jc w:val="both"/>
        <w:rPr>
          <w:rFonts w:eastAsia="Calibri" w:cstheme="minorHAnsi"/>
        </w:rPr>
      </w:pPr>
      <w:r w:rsidRPr="00680020">
        <w:rPr>
          <w:rFonts w:eastAsia="Calibri" w:cstheme="minorHAnsi"/>
        </w:rPr>
        <w:t xml:space="preserve">The legal checklist was developed based on the recommendations of the first </w:t>
      </w:r>
      <w:hyperlink r:id="rId10" w:history="1">
        <w:r w:rsidRPr="00680020">
          <w:rPr>
            <w:rStyle w:val="Hyperlink"/>
            <w:rFonts w:eastAsia="Calibri" w:cstheme="minorHAnsi"/>
          </w:rPr>
          <w:t>Global Study</w:t>
        </w:r>
      </w:hyperlink>
      <w:r w:rsidRPr="00680020">
        <w:rPr>
          <w:rFonts w:eastAsia="Calibri" w:cstheme="minorHAnsi"/>
        </w:rPr>
        <w:t xml:space="preserve"> on sexual exploitation of children in the context of travel and tourism. Following the development of this legal checklist, ECPAT International conducted country legal analysis for </w:t>
      </w:r>
      <w:r w:rsidR="00B6521F">
        <w:rPr>
          <w:rFonts w:eastAsia="Calibri" w:cstheme="minorHAnsi"/>
        </w:rPr>
        <w:t>Bhutan</w:t>
      </w:r>
      <w:r w:rsidRPr="00680020">
        <w:rPr>
          <w:rFonts w:eastAsia="Calibri" w:cstheme="minorHAnsi"/>
        </w:rPr>
        <w:t xml:space="preserve"> and other countries in </w:t>
      </w:r>
      <w:r w:rsidR="00DF78CF">
        <w:rPr>
          <w:rFonts w:eastAsia="Calibri" w:cstheme="minorHAnsi"/>
        </w:rPr>
        <w:t>Asia</w:t>
      </w:r>
      <w:r w:rsidRPr="00680020">
        <w:rPr>
          <w:rFonts w:eastAsia="Calibri" w:cstheme="minorHAnsi"/>
        </w:rPr>
        <w:t xml:space="preserve">, as well as </w:t>
      </w:r>
      <w:r w:rsidR="00DF78CF">
        <w:rPr>
          <w:rFonts w:eastAsia="Calibri" w:cstheme="minorHAnsi"/>
        </w:rPr>
        <w:t>Africa</w:t>
      </w:r>
      <w:r w:rsidRPr="00680020">
        <w:rPr>
          <w:rFonts w:eastAsia="Calibri" w:cstheme="minorHAnsi"/>
        </w:rPr>
        <w:t xml:space="preserve">, </w:t>
      </w:r>
      <w:r w:rsidR="00B6521F">
        <w:rPr>
          <w:rFonts w:eastAsia="Calibri" w:cstheme="minorHAnsi"/>
        </w:rPr>
        <w:t>Southeast</w:t>
      </w:r>
      <w:r w:rsidR="00B6521F" w:rsidRPr="00680020">
        <w:rPr>
          <w:rFonts w:eastAsia="Calibri" w:cstheme="minorHAnsi"/>
        </w:rPr>
        <w:t xml:space="preserve"> </w:t>
      </w:r>
      <w:proofErr w:type="gramStart"/>
      <w:r w:rsidRPr="00680020">
        <w:rPr>
          <w:rFonts w:eastAsia="Calibri" w:cstheme="minorHAnsi"/>
        </w:rPr>
        <w:t>Asia</w:t>
      </w:r>
      <w:proofErr w:type="gramEnd"/>
      <w:r w:rsidRPr="00680020">
        <w:rPr>
          <w:rFonts w:eastAsia="Calibri" w:cstheme="minorHAnsi"/>
        </w:rPr>
        <w:t xml:space="preserve"> and the Americas. </w:t>
      </w:r>
    </w:p>
    <w:p w14:paraId="2484158E" w14:textId="77777777" w:rsidR="008C63F0" w:rsidRPr="00680020" w:rsidRDefault="008C63F0" w:rsidP="008C63F0">
      <w:pPr>
        <w:jc w:val="both"/>
        <w:rPr>
          <w:rFonts w:eastAsia="Calibri" w:cstheme="minorHAnsi"/>
        </w:rPr>
      </w:pPr>
      <w:r w:rsidRPr="00680020">
        <w:rPr>
          <w:rFonts w:eastAsia="Calibri" w:cstheme="minorHAnsi"/>
        </w:rPr>
        <w:t xml:space="preserve">The country analysis serves as a baseline to indicate and track the implementation status of the legal interventions within and across the four regions. It provides governments with clear directions for improving their actions with respect to child protection against sexual exploitation in the context of travel and tourism, including its online elements. </w:t>
      </w:r>
    </w:p>
    <w:p w14:paraId="7A3BBC94" w14:textId="77777777" w:rsidR="008C63F0" w:rsidRPr="00680020" w:rsidRDefault="008C63F0" w:rsidP="008C63F0">
      <w:pPr>
        <w:spacing w:line="240" w:lineRule="auto"/>
        <w:jc w:val="both"/>
        <w:rPr>
          <w:rFonts w:eastAsia="Calibri" w:cstheme="minorHAnsi"/>
        </w:rPr>
      </w:pPr>
      <w:r w:rsidRPr="00680020">
        <w:rPr>
          <w:rFonts w:eastAsia="Calibri" w:cstheme="minorHAnsi"/>
        </w:rPr>
        <w:t xml:space="preserve">The table below allows easy assessment of existing legislation against the 24 measures of the legal checklist. It will be updated as the laws and policies change. An </w:t>
      </w:r>
      <w:hyperlink r:id="rId11" w:history="1">
        <w:r w:rsidRPr="00680020">
          <w:rPr>
            <w:rFonts w:eastAsia="Calibri" w:cstheme="minorHAnsi"/>
            <w:color w:val="0563C1"/>
            <w:u w:val="single"/>
          </w:rPr>
          <w:t>explanatory note</w:t>
        </w:r>
      </w:hyperlink>
      <w:r w:rsidRPr="00680020">
        <w:rPr>
          <w:rFonts w:eastAsia="Calibri" w:cstheme="minorHAnsi"/>
        </w:rPr>
        <w:t xml:space="preserve"> and an </w:t>
      </w:r>
      <w:hyperlink r:id="rId12" w:history="1">
        <w:r w:rsidRPr="00680020">
          <w:rPr>
            <w:rFonts w:eastAsia="Calibri" w:cstheme="minorHAnsi"/>
            <w:color w:val="0563C1"/>
            <w:u w:val="single"/>
          </w:rPr>
          <w:t>assessment matrix</w:t>
        </w:r>
      </w:hyperlink>
      <w:r w:rsidRPr="00680020">
        <w:rPr>
          <w:rFonts w:eastAsia="Calibri" w:cstheme="minorHAnsi"/>
        </w:rPr>
        <w:t xml:space="preserve"> can be consulted for further reference.</w:t>
      </w:r>
    </w:p>
    <w:p w14:paraId="60BE6B5B" w14:textId="77777777" w:rsidR="008C63F0" w:rsidRPr="00680020" w:rsidRDefault="008C63F0" w:rsidP="008C63F0">
      <w:pPr>
        <w:rPr>
          <w:rFonts w:cstheme="minorHAnsi"/>
        </w:rPr>
      </w:pPr>
    </w:p>
    <w:tbl>
      <w:tblPr>
        <w:tblStyle w:val="TableGrid"/>
        <w:tblW w:w="14175" w:type="dxa"/>
        <w:tblInd w:w="-572" w:type="dxa"/>
        <w:tblLayout w:type="fixed"/>
        <w:tblLook w:val="0600" w:firstRow="0" w:lastRow="0" w:firstColumn="0" w:lastColumn="0" w:noHBand="1" w:noVBand="1"/>
      </w:tblPr>
      <w:tblGrid>
        <w:gridCol w:w="425"/>
        <w:gridCol w:w="5529"/>
        <w:gridCol w:w="1701"/>
        <w:gridCol w:w="6520"/>
      </w:tblGrid>
      <w:tr w:rsidR="00A21390" w:rsidRPr="00680020" w14:paraId="415AEFF0" w14:textId="77777777" w:rsidTr="00A21390">
        <w:trPr>
          <w:trHeight w:val="460"/>
        </w:trPr>
        <w:tc>
          <w:tcPr>
            <w:tcW w:w="425" w:type="dxa"/>
          </w:tcPr>
          <w:p w14:paraId="1C105EC0" w14:textId="77777777" w:rsidR="00A21390" w:rsidRPr="00680020" w:rsidRDefault="00A21390" w:rsidP="00C33EAA">
            <w:pPr>
              <w:spacing w:after="160"/>
              <w:rPr>
                <w:rFonts w:cstheme="minorHAnsi"/>
                <w:b/>
                <w:bCs/>
                <w:lang w:val="en-GB"/>
              </w:rPr>
            </w:pPr>
          </w:p>
        </w:tc>
        <w:tc>
          <w:tcPr>
            <w:tcW w:w="5529" w:type="dxa"/>
          </w:tcPr>
          <w:p w14:paraId="3B0FBFD2" w14:textId="77777777" w:rsidR="00A21390" w:rsidRPr="00680020" w:rsidRDefault="00A21390" w:rsidP="00C33EAA">
            <w:pPr>
              <w:spacing w:after="160"/>
              <w:rPr>
                <w:rFonts w:cstheme="minorHAnsi"/>
                <w:b/>
                <w:bCs/>
                <w:lang w:val="en-GB"/>
              </w:rPr>
            </w:pPr>
            <w:r w:rsidRPr="00680020">
              <w:rPr>
                <w:rFonts w:cstheme="minorHAnsi"/>
                <w:b/>
                <w:bCs/>
                <w:lang w:val="en-GB"/>
              </w:rPr>
              <w:t>Recommendations</w:t>
            </w:r>
          </w:p>
        </w:tc>
        <w:tc>
          <w:tcPr>
            <w:tcW w:w="1701" w:type="dxa"/>
          </w:tcPr>
          <w:p w14:paraId="663EAD7C" w14:textId="77777777" w:rsidR="00A21390" w:rsidRPr="00680020" w:rsidRDefault="00A21390" w:rsidP="00C33EAA">
            <w:pPr>
              <w:rPr>
                <w:rFonts w:cstheme="minorHAnsi"/>
                <w:b/>
                <w:bCs/>
                <w:lang w:val="en-GB"/>
              </w:rPr>
            </w:pPr>
            <w:r w:rsidRPr="00680020">
              <w:rPr>
                <w:rFonts w:cstheme="minorHAnsi"/>
                <w:b/>
                <w:bCs/>
                <w:lang w:val="en-GB"/>
              </w:rPr>
              <w:t>Implemented</w:t>
            </w:r>
          </w:p>
        </w:tc>
        <w:tc>
          <w:tcPr>
            <w:tcW w:w="6520" w:type="dxa"/>
          </w:tcPr>
          <w:p w14:paraId="0D9251DB" w14:textId="77777777" w:rsidR="00A21390" w:rsidRPr="00680020" w:rsidRDefault="00A21390" w:rsidP="00C33EAA">
            <w:pPr>
              <w:rPr>
                <w:rFonts w:cstheme="minorHAnsi"/>
                <w:b/>
                <w:bCs/>
                <w:lang w:val="en-GB"/>
              </w:rPr>
            </w:pPr>
            <w:r w:rsidRPr="00680020">
              <w:rPr>
                <w:rFonts w:cstheme="minorHAnsi"/>
                <w:b/>
                <w:bCs/>
                <w:lang w:val="en-GB"/>
              </w:rPr>
              <w:t>Legislation</w:t>
            </w:r>
          </w:p>
        </w:tc>
      </w:tr>
      <w:tr w:rsidR="00A21390" w:rsidRPr="00680020" w14:paraId="32F94587" w14:textId="77777777" w:rsidTr="00A21390">
        <w:trPr>
          <w:trHeight w:val="1740"/>
        </w:trPr>
        <w:tc>
          <w:tcPr>
            <w:tcW w:w="425" w:type="dxa"/>
          </w:tcPr>
          <w:p w14:paraId="58B39890"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7CF0A600" w14:textId="77777777" w:rsidR="00A21390" w:rsidRPr="00680020" w:rsidRDefault="00A21390" w:rsidP="00C33EAA">
            <w:pPr>
              <w:spacing w:after="160"/>
              <w:rPr>
                <w:rFonts w:cstheme="minorHAnsi"/>
                <w:lang w:val="en-GB"/>
              </w:rPr>
            </w:pPr>
            <w:r w:rsidRPr="00680020">
              <w:rPr>
                <w:rFonts w:eastAsia="Calibri" w:cstheme="minorHAnsi"/>
              </w:rPr>
              <w:t xml:space="preserve">Establish by law </w:t>
            </w:r>
            <w:r w:rsidRPr="00680020">
              <w:rPr>
                <w:rFonts w:eastAsia="Calibri" w:cstheme="minorHAnsi"/>
                <w:b/>
              </w:rPr>
              <w:t>extra-territorial jurisdiction</w:t>
            </w:r>
            <w:r w:rsidRPr="00680020">
              <w:rPr>
                <w:rFonts w:eastAsia="Calibri" w:cstheme="minorHAnsi"/>
              </w:rPr>
              <w:t>, within the parameters of Article 4 OPSC, for all offences of sexual exploitation of children, including those occurring in the online environment.</w:t>
            </w:r>
          </w:p>
        </w:tc>
        <w:tc>
          <w:tcPr>
            <w:tcW w:w="1701" w:type="dxa"/>
          </w:tcPr>
          <w:p w14:paraId="371D3819" w14:textId="46DF46B2" w:rsidR="00A21390" w:rsidRPr="00A20A79" w:rsidRDefault="00B6521F" w:rsidP="00C33EAA">
            <w:pPr>
              <w:rPr>
                <w:rFonts w:cstheme="minorHAnsi"/>
                <w:bCs/>
                <w:color w:val="000000" w:themeColor="text1"/>
                <w:lang w:val="en-GB"/>
              </w:rPr>
            </w:pPr>
            <w:r>
              <w:rPr>
                <w:rFonts w:cstheme="minorHAnsi"/>
                <w:bCs/>
                <w:color w:val="000000" w:themeColor="text1"/>
                <w:lang w:val="en-GB"/>
              </w:rPr>
              <w:t>Partially</w:t>
            </w:r>
          </w:p>
        </w:tc>
        <w:tc>
          <w:tcPr>
            <w:tcW w:w="6520" w:type="dxa"/>
          </w:tcPr>
          <w:p w14:paraId="679FADED" w14:textId="77777777" w:rsidR="00B6521F" w:rsidRPr="0003503B" w:rsidRDefault="00B6521F" w:rsidP="00B6521F">
            <w:pPr>
              <w:spacing w:after="160"/>
              <w:jc w:val="both"/>
              <w:rPr>
                <w:rFonts w:ascii="Calibri" w:hAnsi="Calibri" w:cs="Calibri"/>
              </w:rPr>
            </w:pPr>
            <w:r w:rsidRPr="0003503B">
              <w:rPr>
                <w:rFonts w:ascii="Calibri" w:hAnsi="Calibri" w:cs="Calibri"/>
              </w:rPr>
              <w:t>The national legislation does not establish any exclusive extra-territorial jurisdiction for</w:t>
            </w:r>
            <w:r>
              <w:rPr>
                <w:rFonts w:ascii="Calibri" w:hAnsi="Calibri" w:cs="Calibri"/>
              </w:rPr>
              <w:t xml:space="preserve"> all</w:t>
            </w:r>
            <w:r w:rsidRPr="0003503B">
              <w:rPr>
                <w:rFonts w:ascii="Calibri" w:hAnsi="Calibri" w:cs="Calibri"/>
              </w:rPr>
              <w:t xml:space="preserve"> offences under the OPSC. </w:t>
            </w:r>
          </w:p>
          <w:p w14:paraId="73E043BF" w14:textId="77777777" w:rsidR="00B6521F" w:rsidRPr="0003503B" w:rsidRDefault="00B6521F" w:rsidP="00B6521F">
            <w:pPr>
              <w:spacing w:after="160"/>
              <w:jc w:val="both"/>
              <w:rPr>
                <w:rFonts w:ascii="Calibri" w:hAnsi="Calibri" w:cs="Calibri"/>
              </w:rPr>
            </w:pPr>
            <w:r>
              <w:rPr>
                <w:rFonts w:ascii="Calibri" w:hAnsi="Calibri" w:cs="Calibri"/>
              </w:rPr>
              <w:t>Notwithstanding</w:t>
            </w:r>
            <w:r w:rsidRPr="0003503B">
              <w:rPr>
                <w:rFonts w:ascii="Calibri" w:hAnsi="Calibri" w:cs="Calibri"/>
              </w:rPr>
              <w:t>, Section 20 of the Civil and Criminal Procedure Code of Bhutan 2001, states that “the Supreme/High Court shall exercise jurisdiction outside Bhutan on the bases of the following principles: (a) territorial; (b) nationality; (c) passive personality; (d) protective; (e) universality; (f) flag jurisdiction; and (g) airspace.”</w:t>
            </w:r>
          </w:p>
          <w:p w14:paraId="7D93F0BE" w14:textId="77777777" w:rsidR="00B6521F" w:rsidRPr="0003503B" w:rsidRDefault="00B6521F" w:rsidP="00B6521F">
            <w:pPr>
              <w:spacing w:after="160"/>
              <w:jc w:val="both"/>
              <w:rPr>
                <w:rFonts w:ascii="Calibri" w:hAnsi="Calibri" w:cs="Calibri"/>
              </w:rPr>
            </w:pPr>
            <w:r>
              <w:rPr>
                <w:rFonts w:ascii="Calibri" w:hAnsi="Calibri" w:cs="Calibri"/>
              </w:rPr>
              <w:lastRenderedPageBreak/>
              <w:t>Moreover</w:t>
            </w:r>
            <w:r w:rsidRPr="0003503B">
              <w:rPr>
                <w:rFonts w:ascii="Calibri" w:hAnsi="Calibri" w:cs="Calibri"/>
              </w:rPr>
              <w:t xml:space="preserve">, Section 4 of the Information, Communication and Media Act 2018 extends the application of the Act to any offence committed outside Bhutan if the offence involves a computer system or network located in Bhutan. This could cover offences relating to CSAM under the Act. </w:t>
            </w:r>
          </w:p>
          <w:p w14:paraId="2F879AB1" w14:textId="77777777" w:rsidR="00B6521F" w:rsidRDefault="00B6521F" w:rsidP="00B6521F">
            <w:pPr>
              <w:spacing w:after="160"/>
              <w:jc w:val="both"/>
              <w:rPr>
                <w:rFonts w:ascii="Calibri" w:hAnsi="Calibri" w:cs="Calibri"/>
                <w:shd w:val="clear" w:color="auto" w:fill="FFFFFF"/>
              </w:rPr>
            </w:pPr>
            <w:r w:rsidRPr="00015AF7">
              <w:rPr>
                <w:rFonts w:ascii="Calibri" w:hAnsi="Calibri" w:cs="Calibri"/>
                <w:shd w:val="clear" w:color="auto" w:fill="FFFFFF"/>
              </w:rPr>
              <w:t>However, there is no provision establishing extraterritorial jurisdiction in those cases where the offender is a habitual resident in Bhutan who has committed a crime outside of Bhutan.</w:t>
            </w:r>
          </w:p>
          <w:p w14:paraId="06E5A50B" w14:textId="004640E9" w:rsidR="00A21390" w:rsidRPr="00680020" w:rsidRDefault="00B6521F" w:rsidP="00B6521F">
            <w:pPr>
              <w:rPr>
                <w:rFonts w:cstheme="minorHAnsi"/>
                <w:lang w:val="en-GB"/>
              </w:rPr>
            </w:pPr>
            <w:r w:rsidRPr="0003503B">
              <w:rPr>
                <w:rFonts w:ascii="Calibri" w:hAnsi="Calibri" w:cs="Calibri"/>
              </w:rPr>
              <w:t xml:space="preserve">It is noteworthy that in accordance with Section 29 of the Civil and Criminal Procedure Code 2001, the Royal Courts of Justice of Bhutan are </w:t>
            </w:r>
            <w:proofErr w:type="spellStart"/>
            <w:r w:rsidRPr="0003503B">
              <w:rPr>
                <w:rFonts w:ascii="Calibri" w:hAnsi="Calibri" w:cs="Calibri"/>
              </w:rPr>
              <w:t>authorised</w:t>
            </w:r>
            <w:proofErr w:type="spellEnd"/>
            <w:r w:rsidRPr="0003503B">
              <w:rPr>
                <w:rFonts w:ascii="Calibri" w:hAnsi="Calibri" w:cs="Calibri"/>
              </w:rPr>
              <w:t xml:space="preserve"> to apply international conventions, covenants, </w:t>
            </w:r>
            <w:proofErr w:type="gramStart"/>
            <w:r w:rsidRPr="0003503B">
              <w:rPr>
                <w:rFonts w:ascii="Calibri" w:hAnsi="Calibri" w:cs="Calibri"/>
              </w:rPr>
              <w:t>treaties</w:t>
            </w:r>
            <w:proofErr w:type="gramEnd"/>
            <w:r w:rsidRPr="0003503B">
              <w:rPr>
                <w:rFonts w:ascii="Calibri" w:hAnsi="Calibri" w:cs="Calibri"/>
              </w:rPr>
              <w:t xml:space="preserve"> and protocols that are duly acceded by the Royal Government of Bhutan and ratified by the National Assembly of Bhutan</w:t>
            </w:r>
            <w:r w:rsidR="00A21390" w:rsidRPr="00680020">
              <w:rPr>
                <w:rFonts w:cstheme="minorHAnsi"/>
                <w:lang w:val="en-GB"/>
              </w:rPr>
              <w:t xml:space="preserve"> </w:t>
            </w:r>
          </w:p>
        </w:tc>
      </w:tr>
      <w:tr w:rsidR="00A21390" w:rsidRPr="00680020" w14:paraId="022EBF10" w14:textId="77777777" w:rsidTr="00A21390">
        <w:trPr>
          <w:trHeight w:val="1740"/>
        </w:trPr>
        <w:tc>
          <w:tcPr>
            <w:tcW w:w="425" w:type="dxa"/>
          </w:tcPr>
          <w:p w14:paraId="1FED1E2B"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66AB0E18" w14:textId="77777777" w:rsidR="00A21390" w:rsidRPr="00680020" w:rsidRDefault="00A21390" w:rsidP="00C33EAA">
            <w:pPr>
              <w:spacing w:after="160"/>
              <w:rPr>
                <w:rFonts w:cstheme="minorHAnsi"/>
                <w:lang w:val="en-GB"/>
              </w:rPr>
            </w:pPr>
            <w:r w:rsidRPr="00680020">
              <w:rPr>
                <w:rFonts w:eastAsia="Calibri" w:cstheme="minorHAnsi"/>
              </w:rPr>
              <w:t xml:space="preserve">Include in extradition treaties the sexual exploitation of children as </w:t>
            </w:r>
            <w:r w:rsidRPr="00680020">
              <w:rPr>
                <w:rFonts w:eastAsia="Calibri" w:cstheme="minorHAnsi"/>
                <w:b/>
              </w:rPr>
              <w:t>extraditable offences</w:t>
            </w:r>
            <w:r w:rsidRPr="00680020">
              <w:rPr>
                <w:rFonts w:eastAsia="Calibri" w:cstheme="minorHAnsi"/>
              </w:rPr>
              <w:t xml:space="preserve"> and apply when appropriate the rules of article 5 </w:t>
            </w:r>
            <w:proofErr w:type="gramStart"/>
            <w:r w:rsidRPr="00680020">
              <w:rPr>
                <w:rFonts w:eastAsia="Calibri" w:cstheme="minorHAnsi"/>
              </w:rPr>
              <w:t>OPSC,  regardless</w:t>
            </w:r>
            <w:proofErr w:type="gramEnd"/>
            <w:r w:rsidRPr="00680020">
              <w:rPr>
                <w:rFonts w:eastAsia="Calibri" w:cstheme="minorHAnsi"/>
              </w:rPr>
              <w:t xml:space="preserve"> the nationality of the (alleged) offender.</w:t>
            </w:r>
          </w:p>
        </w:tc>
        <w:tc>
          <w:tcPr>
            <w:tcW w:w="1701" w:type="dxa"/>
          </w:tcPr>
          <w:p w14:paraId="4B488A95" w14:textId="77777777" w:rsidR="00A21390" w:rsidRPr="00A20A79" w:rsidDel="009C2987" w:rsidRDefault="00A21390" w:rsidP="00C33EAA">
            <w:pPr>
              <w:rPr>
                <w:rFonts w:cstheme="minorHAnsi"/>
                <w:bCs/>
                <w:color w:val="000000" w:themeColor="text1"/>
                <w:lang w:val="en-GB"/>
              </w:rPr>
            </w:pPr>
            <w:r w:rsidRPr="00A20A79">
              <w:rPr>
                <w:rFonts w:cstheme="minorHAnsi"/>
                <w:bCs/>
                <w:color w:val="000000" w:themeColor="text1"/>
                <w:lang w:val="en-GB"/>
              </w:rPr>
              <w:t>Partially</w:t>
            </w:r>
          </w:p>
        </w:tc>
        <w:tc>
          <w:tcPr>
            <w:tcW w:w="6520" w:type="dxa"/>
          </w:tcPr>
          <w:p w14:paraId="37D4D831" w14:textId="77777777" w:rsidR="00B6521F" w:rsidRPr="00877E76" w:rsidRDefault="00B6521F" w:rsidP="00B6521F">
            <w:pPr>
              <w:spacing w:after="160"/>
              <w:jc w:val="both"/>
              <w:rPr>
                <w:rFonts w:ascii="Calibri" w:hAnsi="Calibri" w:cs="Calibri"/>
                <w:shd w:val="clear" w:color="auto" w:fill="FFFFFF"/>
              </w:rPr>
            </w:pPr>
            <w:r>
              <w:rPr>
                <w:rFonts w:ascii="Calibri" w:hAnsi="Calibri" w:cs="Calibri"/>
                <w:shd w:val="clear" w:color="auto" w:fill="FFFFFF"/>
              </w:rPr>
              <w:t xml:space="preserve">The preliminary section I of the Extradition Act makes it clear that the Act applies to </w:t>
            </w:r>
            <w:r w:rsidRPr="00877E76">
              <w:rPr>
                <w:rFonts w:ascii="Calibri" w:hAnsi="Calibri" w:cs="Calibri"/>
                <w:shd w:val="clear" w:color="auto" w:fill="FFFFFF"/>
              </w:rPr>
              <w:t>any treaty state (or non-treaty state where the Royal Government of Bhutan considers it expedient to surrender the fugitive offender to that state) may request the extradition of a fugitive offender who has absconded to Bhutan.</w:t>
            </w:r>
          </w:p>
          <w:p w14:paraId="5657D261" w14:textId="7B76A4D7" w:rsidR="00A21390" w:rsidRPr="00680020" w:rsidRDefault="00B6521F" w:rsidP="00B6521F">
            <w:pPr>
              <w:rPr>
                <w:rFonts w:cstheme="minorHAnsi"/>
                <w:lang w:val="en-GB"/>
              </w:rPr>
            </w:pPr>
            <w:r w:rsidRPr="00877E76">
              <w:rPr>
                <w:rFonts w:ascii="Calibri" w:hAnsi="Calibri" w:cs="Calibri"/>
                <w:shd w:val="clear" w:color="auto" w:fill="FFFFFF"/>
              </w:rPr>
              <w:t>Extraditable offences include those listed in the Schedule to the Extradition Act</w:t>
            </w:r>
            <w:r>
              <w:rPr>
                <w:rFonts w:ascii="Calibri" w:hAnsi="Calibri" w:cs="Calibri"/>
                <w:shd w:val="clear" w:color="auto" w:fill="FFFFFF"/>
              </w:rPr>
              <w:t>. These include,</w:t>
            </w:r>
            <w:r>
              <w:t xml:space="preserve"> </w:t>
            </w:r>
            <w:r w:rsidRPr="00DF3883">
              <w:rPr>
                <w:rFonts w:ascii="Calibri" w:hAnsi="Calibri" w:cs="Calibri"/>
              </w:rPr>
              <w:t xml:space="preserve">“immoral traffic in women and girls” and “kidnapping, abduction, slavery and forced </w:t>
            </w:r>
            <w:proofErr w:type="spellStart"/>
            <w:r w:rsidRPr="00DF3883">
              <w:rPr>
                <w:rFonts w:ascii="Calibri" w:hAnsi="Calibri" w:cs="Calibri"/>
              </w:rPr>
              <w:t>labour</w:t>
            </w:r>
            <w:proofErr w:type="spellEnd"/>
            <w:r w:rsidRPr="00DF3883">
              <w:rPr>
                <w:rFonts w:ascii="Calibri" w:hAnsi="Calibri" w:cs="Calibri"/>
              </w:rPr>
              <w:t>”.</w:t>
            </w:r>
            <w:r w:rsidRPr="00DF3883">
              <w:rPr>
                <w:rFonts w:ascii="Calibri" w:hAnsi="Calibri" w:cs="Calibri"/>
                <w:shd w:val="clear" w:color="auto" w:fill="FFFFFF"/>
              </w:rPr>
              <w:t xml:space="preserve"> </w:t>
            </w:r>
            <w:r>
              <w:rPr>
                <w:rFonts w:ascii="Calibri" w:hAnsi="Calibri" w:cs="Calibri"/>
                <w:shd w:val="clear" w:color="auto" w:fill="FFFFFF"/>
              </w:rPr>
              <w:t>Therefore, some offences relating to SECTT could be extraditable.</w:t>
            </w:r>
          </w:p>
        </w:tc>
      </w:tr>
      <w:tr w:rsidR="00A21390" w:rsidRPr="00680020" w14:paraId="7F94967F" w14:textId="77777777" w:rsidTr="00A21390">
        <w:trPr>
          <w:trHeight w:val="920"/>
        </w:trPr>
        <w:tc>
          <w:tcPr>
            <w:tcW w:w="425" w:type="dxa"/>
          </w:tcPr>
          <w:p w14:paraId="56648AE6"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6A317B56" w14:textId="77777777" w:rsidR="00A21390" w:rsidRPr="00680020" w:rsidRDefault="00A21390" w:rsidP="00C33EAA">
            <w:pPr>
              <w:spacing w:after="160"/>
              <w:rPr>
                <w:rFonts w:cstheme="minorHAnsi"/>
                <w:lang w:val="en-GB"/>
              </w:rPr>
            </w:pPr>
            <w:r w:rsidRPr="00680020">
              <w:rPr>
                <w:rFonts w:eastAsia="Calibri" w:cstheme="minorHAnsi"/>
              </w:rPr>
              <w:t xml:space="preserve">Do NOT require the principle of </w:t>
            </w:r>
            <w:r w:rsidRPr="00680020">
              <w:rPr>
                <w:rFonts w:eastAsia="Calibri" w:cstheme="minorHAnsi"/>
                <w:b/>
              </w:rPr>
              <w:t>double criminality</w:t>
            </w:r>
            <w:r w:rsidRPr="00680020">
              <w:rPr>
                <w:rFonts w:eastAsia="Calibri" w:cstheme="minorHAnsi"/>
              </w:rPr>
              <w:t xml:space="preserve"> for proceeding with extraterritorial jurisdiction or extradition for sexual offences against children.</w:t>
            </w:r>
          </w:p>
        </w:tc>
        <w:tc>
          <w:tcPr>
            <w:tcW w:w="1701" w:type="dxa"/>
          </w:tcPr>
          <w:p w14:paraId="075584A9" w14:textId="59178677" w:rsidR="00A21390" w:rsidRPr="00A20A79" w:rsidRDefault="00B6521F" w:rsidP="00C33EAA">
            <w:pPr>
              <w:rPr>
                <w:rFonts w:cstheme="minorHAnsi"/>
                <w:bCs/>
                <w:color w:val="000000" w:themeColor="text1"/>
                <w:lang w:val="en-GB"/>
              </w:rPr>
            </w:pPr>
            <w:r>
              <w:rPr>
                <w:rFonts w:cstheme="minorHAnsi"/>
                <w:bCs/>
                <w:color w:val="000000" w:themeColor="text1"/>
                <w:lang w:val="en-GB"/>
              </w:rPr>
              <w:t>Yes</w:t>
            </w:r>
          </w:p>
        </w:tc>
        <w:tc>
          <w:tcPr>
            <w:tcW w:w="6520" w:type="dxa"/>
          </w:tcPr>
          <w:p w14:paraId="6D45CE47" w14:textId="77777777" w:rsidR="00B6521F" w:rsidRDefault="00B6521F" w:rsidP="00B6521F">
            <w:pPr>
              <w:spacing w:after="160"/>
              <w:jc w:val="both"/>
              <w:rPr>
                <w:rFonts w:ascii="Calibri" w:hAnsi="Calibri" w:cs="Calibri"/>
                <w:lang w:val="en-GB"/>
              </w:rPr>
            </w:pPr>
            <w:r>
              <w:rPr>
                <w:rFonts w:ascii="Calibri" w:hAnsi="Calibri" w:cs="Calibri"/>
                <w:lang w:val="en-GB"/>
              </w:rPr>
              <w:t>It appears that the principle of double criminality does not apply for sexual offences against children in the case of extraterritorial jurisdiction as well as extradition.</w:t>
            </w:r>
          </w:p>
          <w:p w14:paraId="76CF08E1" w14:textId="3B45511E" w:rsidR="00A21390" w:rsidRPr="00680020" w:rsidRDefault="00A21390" w:rsidP="00C33EAA">
            <w:pPr>
              <w:rPr>
                <w:rFonts w:cstheme="minorHAnsi"/>
                <w:lang w:val="en-GB"/>
              </w:rPr>
            </w:pPr>
          </w:p>
        </w:tc>
      </w:tr>
      <w:tr w:rsidR="00A21390" w:rsidRPr="00680020" w14:paraId="6F0763EB" w14:textId="77777777" w:rsidTr="00A21390">
        <w:trPr>
          <w:trHeight w:val="20"/>
        </w:trPr>
        <w:tc>
          <w:tcPr>
            <w:tcW w:w="425" w:type="dxa"/>
          </w:tcPr>
          <w:p w14:paraId="025E8299"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7EC4CFD1" w14:textId="77777777" w:rsidR="00A21390" w:rsidRPr="00680020" w:rsidRDefault="00A21390" w:rsidP="00C33EAA">
            <w:pPr>
              <w:spacing w:after="160"/>
              <w:rPr>
                <w:rFonts w:cstheme="minorHAnsi"/>
                <w:lang w:val="en-GB"/>
              </w:rPr>
            </w:pPr>
            <w:r w:rsidRPr="00680020">
              <w:rPr>
                <w:rFonts w:eastAsia="Calibri" w:cstheme="minorHAnsi"/>
              </w:rPr>
              <w:t xml:space="preserve">Abolish </w:t>
            </w:r>
            <w:r w:rsidRPr="00680020">
              <w:rPr>
                <w:rFonts w:eastAsia="Calibri" w:cstheme="minorHAnsi"/>
                <w:b/>
              </w:rPr>
              <w:t>statutory limitations</w:t>
            </w:r>
            <w:r w:rsidRPr="00680020">
              <w:rPr>
                <w:rFonts w:eastAsia="Calibri" w:cstheme="minorHAnsi"/>
              </w:rPr>
              <w:t xml:space="preserve"> for the prosecution of ALL offences of sexual exploitation of children.</w:t>
            </w:r>
          </w:p>
        </w:tc>
        <w:tc>
          <w:tcPr>
            <w:tcW w:w="1701" w:type="dxa"/>
          </w:tcPr>
          <w:p w14:paraId="5F657385" w14:textId="4A4C4A56" w:rsidR="00A21390" w:rsidRPr="00A20A79" w:rsidRDefault="00B6521F" w:rsidP="00C33EAA">
            <w:pPr>
              <w:rPr>
                <w:rFonts w:cstheme="minorHAnsi"/>
                <w:bCs/>
                <w:color w:val="000000" w:themeColor="text1"/>
                <w:lang w:val="en-GB"/>
              </w:rPr>
            </w:pPr>
            <w:r>
              <w:rPr>
                <w:rFonts w:cstheme="minorHAnsi"/>
                <w:bCs/>
                <w:color w:val="000000" w:themeColor="text1"/>
                <w:lang w:val="en-GB"/>
              </w:rPr>
              <w:t>Yes</w:t>
            </w:r>
          </w:p>
        </w:tc>
        <w:tc>
          <w:tcPr>
            <w:tcW w:w="6520" w:type="dxa"/>
          </w:tcPr>
          <w:p w14:paraId="714494A5" w14:textId="79A9885A" w:rsidR="00A21390" w:rsidRPr="00680020" w:rsidRDefault="00B6521F" w:rsidP="00C33EAA">
            <w:pPr>
              <w:rPr>
                <w:rFonts w:cstheme="minorHAnsi"/>
                <w:lang w:val="en-GB"/>
              </w:rPr>
            </w:pPr>
            <w:r>
              <w:rPr>
                <w:rFonts w:ascii="Calibri" w:hAnsi="Calibri" w:cs="Calibri"/>
              </w:rPr>
              <w:t>It appears that Bhutan does not have any statutory limitations for all crimes in general.</w:t>
            </w:r>
          </w:p>
        </w:tc>
      </w:tr>
      <w:tr w:rsidR="00A21390" w:rsidRPr="00680020" w14:paraId="4F774369" w14:textId="77777777" w:rsidTr="00A21390">
        <w:trPr>
          <w:trHeight w:val="920"/>
        </w:trPr>
        <w:tc>
          <w:tcPr>
            <w:tcW w:w="425" w:type="dxa"/>
          </w:tcPr>
          <w:p w14:paraId="09911075"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1D310324" w14:textId="77777777" w:rsidR="00A21390" w:rsidRPr="00680020" w:rsidRDefault="00A21390" w:rsidP="00C33EAA">
            <w:pPr>
              <w:spacing w:after="160"/>
              <w:rPr>
                <w:rFonts w:cstheme="minorHAnsi"/>
                <w:lang w:val="en-GB"/>
              </w:rPr>
            </w:pPr>
            <w:r w:rsidRPr="00680020">
              <w:rPr>
                <w:rFonts w:eastAsia="Calibri" w:cstheme="minorHAnsi"/>
              </w:rPr>
              <w:t xml:space="preserve">Set up </w:t>
            </w:r>
            <w:r w:rsidRPr="00680020">
              <w:rPr>
                <w:rFonts w:eastAsia="Calibri" w:cstheme="minorHAnsi"/>
                <w:b/>
              </w:rPr>
              <w:t xml:space="preserve">conditions for any travel </w:t>
            </w:r>
            <w:r w:rsidRPr="00680020">
              <w:rPr>
                <w:rFonts w:eastAsia="Calibri" w:cstheme="minorHAnsi"/>
              </w:rPr>
              <w:t>by persons convicted of sexual exploitation of children.</w:t>
            </w:r>
          </w:p>
        </w:tc>
        <w:tc>
          <w:tcPr>
            <w:tcW w:w="1701" w:type="dxa"/>
          </w:tcPr>
          <w:p w14:paraId="7C523D1D" w14:textId="6BD1F22F" w:rsidR="00A21390" w:rsidRPr="00A20A79" w:rsidRDefault="00B6521F" w:rsidP="00C33EAA">
            <w:pPr>
              <w:rPr>
                <w:rFonts w:cstheme="minorHAnsi"/>
                <w:bCs/>
                <w:color w:val="000000" w:themeColor="text1"/>
                <w:lang w:val="en-GB"/>
              </w:rPr>
            </w:pPr>
            <w:r>
              <w:rPr>
                <w:rFonts w:cstheme="minorHAnsi"/>
                <w:bCs/>
                <w:color w:val="000000" w:themeColor="text1"/>
                <w:lang w:val="en-GB"/>
              </w:rPr>
              <w:t>Partially</w:t>
            </w:r>
          </w:p>
        </w:tc>
        <w:tc>
          <w:tcPr>
            <w:tcW w:w="6520" w:type="dxa"/>
          </w:tcPr>
          <w:p w14:paraId="759633EA" w14:textId="77777777" w:rsidR="00B6521F" w:rsidRPr="0003503B" w:rsidRDefault="00B6521F" w:rsidP="00B6521F">
            <w:pPr>
              <w:spacing w:after="160"/>
              <w:jc w:val="both"/>
              <w:rPr>
                <w:rFonts w:ascii="Calibri" w:hAnsi="Calibri" w:cs="Calibri"/>
                <w:lang w:val="en-GB"/>
              </w:rPr>
            </w:pPr>
            <w:r w:rsidRPr="0003503B">
              <w:rPr>
                <w:rFonts w:ascii="Calibri" w:hAnsi="Calibri" w:cs="Calibri"/>
                <w:lang w:val="en-GB"/>
              </w:rPr>
              <w:t xml:space="preserve">Under Section 62(b) of the Immigration Act 2007, foreigners guilty of engaging in organised crimes like trafficking are prohibited from being admitted into the Kingdom of Bhutan. In addition, under Section 61, </w:t>
            </w:r>
            <w:r w:rsidRPr="0003503B">
              <w:rPr>
                <w:rFonts w:ascii="Calibri" w:hAnsi="Calibri" w:cs="Calibri"/>
                <w:lang w:val="en-GB"/>
              </w:rPr>
              <w:lastRenderedPageBreak/>
              <w:t xml:space="preserve">foreigners guilty of committing offences which amount to felonies, whether committed inside or outside Bhutan are inadmissible into the Kingdom. Most of the SEC offences in Bhutan are felonies therefore, this could be applicable to foreigners convicted for these offences. </w:t>
            </w:r>
          </w:p>
          <w:p w14:paraId="02DC10A5" w14:textId="1E528A80" w:rsidR="00A21390" w:rsidRPr="00680020" w:rsidRDefault="00B6521F" w:rsidP="00B6521F">
            <w:pPr>
              <w:rPr>
                <w:rFonts w:cstheme="minorHAnsi"/>
                <w:lang w:val="en-GB"/>
              </w:rPr>
            </w:pPr>
            <w:r w:rsidRPr="0003503B">
              <w:rPr>
                <w:rFonts w:ascii="Calibri" w:hAnsi="Calibri" w:cs="Calibri"/>
              </w:rPr>
              <w:t>Furthermore, Section 67 states that “any foreigner who has engaged, is engaging, or seeks to enter the Kingdom to engage in an offence or who aids, abets, assists, conspires, or colludes in the commitment of an offence shall be ineligible for admission in the Kingdom”.</w:t>
            </w:r>
            <w:r w:rsidR="00A21390" w:rsidRPr="00680020">
              <w:rPr>
                <w:rFonts w:cstheme="minorHAnsi"/>
                <w:lang w:val="en-GB"/>
              </w:rPr>
              <w:t xml:space="preserve"> </w:t>
            </w:r>
          </w:p>
        </w:tc>
      </w:tr>
      <w:tr w:rsidR="00A21390" w:rsidRPr="00680020" w14:paraId="66544A55" w14:textId="77777777" w:rsidTr="00A21390">
        <w:trPr>
          <w:trHeight w:val="432"/>
        </w:trPr>
        <w:tc>
          <w:tcPr>
            <w:tcW w:w="425" w:type="dxa"/>
          </w:tcPr>
          <w:p w14:paraId="2D61F933"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22A1F325" w14:textId="77777777" w:rsidR="00A21390" w:rsidRPr="00680020" w:rsidRDefault="00A21390" w:rsidP="00C33EAA">
            <w:pPr>
              <w:spacing w:after="160"/>
              <w:rPr>
                <w:rFonts w:cstheme="minorHAnsi"/>
                <w:lang w:val="en-GB"/>
              </w:rPr>
            </w:pPr>
            <w:r w:rsidRPr="00680020">
              <w:rPr>
                <w:rFonts w:eastAsia="Calibri" w:cstheme="minorHAnsi"/>
              </w:rPr>
              <w:t xml:space="preserve">Ensure </w:t>
            </w:r>
            <w:r w:rsidRPr="00680020">
              <w:rPr>
                <w:rFonts w:eastAsia="Calibri" w:cstheme="minorHAnsi"/>
                <w:b/>
              </w:rPr>
              <w:t xml:space="preserve">consistency in the definition of a ‘child’ </w:t>
            </w:r>
            <w:r w:rsidRPr="00680020">
              <w:rPr>
                <w:rFonts w:eastAsia="Calibri" w:cstheme="minorHAnsi"/>
              </w:rPr>
              <w:t>as anyone under the age of 18 for all crimes of sexual exploitation, regardless of the age of sexual consent.</w:t>
            </w:r>
          </w:p>
        </w:tc>
        <w:tc>
          <w:tcPr>
            <w:tcW w:w="1701" w:type="dxa"/>
          </w:tcPr>
          <w:p w14:paraId="39F98F35" w14:textId="57A683BD" w:rsidR="00A21390" w:rsidRPr="00A20A79" w:rsidRDefault="00B6521F" w:rsidP="00C33EAA">
            <w:pPr>
              <w:rPr>
                <w:rFonts w:cstheme="minorHAnsi"/>
                <w:bCs/>
                <w:color w:val="000000" w:themeColor="text1"/>
                <w:lang w:val="en-GB"/>
              </w:rPr>
            </w:pPr>
            <w:r>
              <w:rPr>
                <w:rFonts w:cstheme="minorHAnsi"/>
                <w:bCs/>
                <w:color w:val="000000" w:themeColor="text1"/>
                <w:lang w:val="en-GB"/>
              </w:rPr>
              <w:t>Yes</w:t>
            </w:r>
          </w:p>
        </w:tc>
        <w:tc>
          <w:tcPr>
            <w:tcW w:w="6520" w:type="dxa"/>
          </w:tcPr>
          <w:p w14:paraId="2F752C75" w14:textId="77777777" w:rsidR="00B6521F" w:rsidRPr="0003503B" w:rsidRDefault="00B6521F" w:rsidP="00B6521F">
            <w:pPr>
              <w:spacing w:after="160"/>
              <w:jc w:val="both"/>
              <w:rPr>
                <w:rFonts w:ascii="Calibri" w:hAnsi="Calibri" w:cs="Calibri"/>
                <w:bCs/>
              </w:rPr>
            </w:pPr>
            <w:r w:rsidRPr="0003503B">
              <w:rPr>
                <w:rFonts w:ascii="Calibri" w:hAnsi="Calibri" w:cs="Calibri"/>
                <w:bCs/>
              </w:rPr>
              <w:t xml:space="preserve">Section 16 of the Child Care and Protection Act of 2011 (CCPA) defines a ‘child’ as any person below the age of 18. </w:t>
            </w:r>
          </w:p>
          <w:p w14:paraId="7E0D7BD3" w14:textId="3D37453E" w:rsidR="00A21390" w:rsidRPr="00680020" w:rsidRDefault="00B6521F" w:rsidP="00B6521F">
            <w:pPr>
              <w:rPr>
                <w:rFonts w:cstheme="minorHAnsi"/>
                <w:lang w:val="en-GB"/>
              </w:rPr>
            </w:pPr>
            <w:r w:rsidRPr="0003503B">
              <w:rPr>
                <w:rFonts w:ascii="Calibri" w:hAnsi="Calibri" w:cs="Calibri"/>
                <w:bCs/>
              </w:rPr>
              <w:t xml:space="preserve">A similar definition is </w:t>
            </w:r>
            <w:r>
              <w:rPr>
                <w:rFonts w:ascii="Calibri" w:hAnsi="Calibri" w:cs="Calibri"/>
                <w:bCs/>
              </w:rPr>
              <w:t>contained under</w:t>
            </w:r>
            <w:r w:rsidRPr="0003503B">
              <w:rPr>
                <w:rFonts w:ascii="Calibri" w:hAnsi="Calibri" w:cs="Calibri"/>
                <w:bCs/>
              </w:rPr>
              <w:t xml:space="preserve"> Section 464(12) of the Information, Communication and Media Act of Bhutan, 2018.</w:t>
            </w:r>
          </w:p>
        </w:tc>
      </w:tr>
      <w:tr w:rsidR="00A21390" w:rsidRPr="00680020" w14:paraId="7B8065FB" w14:textId="77777777" w:rsidTr="00A21390">
        <w:trPr>
          <w:trHeight w:val="1040"/>
        </w:trPr>
        <w:tc>
          <w:tcPr>
            <w:tcW w:w="425" w:type="dxa"/>
          </w:tcPr>
          <w:p w14:paraId="4AB4824F"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09F7EBF7" w14:textId="77777777" w:rsidR="00A21390" w:rsidRPr="00680020" w:rsidRDefault="00A21390" w:rsidP="00C33EAA">
            <w:pPr>
              <w:rPr>
                <w:rFonts w:cstheme="minorHAnsi"/>
                <w:lang w:val="en-GB"/>
              </w:rPr>
            </w:pPr>
            <w:r w:rsidRPr="00680020">
              <w:rPr>
                <w:rFonts w:eastAsia="Calibri" w:cstheme="minorHAnsi"/>
              </w:rPr>
              <w:t xml:space="preserve">Ensure that the </w:t>
            </w:r>
            <w:r w:rsidRPr="00680020">
              <w:rPr>
                <w:rFonts w:eastAsia="Calibri" w:cstheme="minorHAnsi"/>
                <w:b/>
              </w:rPr>
              <w:t>age of sexual consent</w:t>
            </w:r>
            <w:r w:rsidRPr="00680020">
              <w:rPr>
                <w:rFonts w:eastAsia="Calibri" w:cstheme="minorHAnsi"/>
              </w:rPr>
              <w:t xml:space="preserve"> for both males and females is 18 and a close in age exemption (up to 3 years) is provided for consensual sexual relationships between adolescents </w:t>
            </w:r>
            <w:proofErr w:type="gramStart"/>
            <w:r w:rsidRPr="00680020">
              <w:rPr>
                <w:rFonts w:eastAsia="Calibri" w:cstheme="minorHAnsi"/>
              </w:rPr>
              <w:t>in order to</w:t>
            </w:r>
            <w:proofErr w:type="gramEnd"/>
            <w:r w:rsidRPr="00680020">
              <w:rPr>
                <w:rFonts w:eastAsia="Calibri" w:cstheme="minorHAnsi"/>
              </w:rPr>
              <w:t xml:space="preserve"> allow voluntary, well-informed and mutual sexual contact between close in age peers and to prevent criminalization of young people in willing sexual relationships.</w:t>
            </w:r>
          </w:p>
        </w:tc>
        <w:tc>
          <w:tcPr>
            <w:tcW w:w="1701" w:type="dxa"/>
          </w:tcPr>
          <w:p w14:paraId="07241F5A" w14:textId="591DF6D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 </w:t>
            </w:r>
            <w:r w:rsidR="00B6521F">
              <w:rPr>
                <w:rFonts w:cstheme="minorHAnsi"/>
                <w:bCs/>
                <w:color w:val="000000" w:themeColor="text1"/>
                <w:lang w:val="en-GB"/>
              </w:rPr>
              <w:t>Partially</w:t>
            </w:r>
          </w:p>
        </w:tc>
        <w:tc>
          <w:tcPr>
            <w:tcW w:w="6520" w:type="dxa"/>
          </w:tcPr>
          <w:p w14:paraId="58C27B2B" w14:textId="484FEBD0" w:rsidR="00B6521F" w:rsidRDefault="00B6521F" w:rsidP="00C33EAA">
            <w:pPr>
              <w:rPr>
                <w:rFonts w:ascii="Calibri" w:hAnsi="Calibri" w:cs="Calibri"/>
              </w:rPr>
            </w:pPr>
            <w:r>
              <w:rPr>
                <w:rFonts w:ascii="Calibri" w:hAnsi="Calibri" w:cs="Calibri"/>
              </w:rPr>
              <w:t>The age of sexual consent in Bhutan is set at 18 by the Penal Code (article 183).</w:t>
            </w:r>
          </w:p>
          <w:p w14:paraId="5A9BBD54" w14:textId="77777777" w:rsidR="00B6521F" w:rsidRDefault="00B6521F" w:rsidP="00C33EAA">
            <w:pPr>
              <w:rPr>
                <w:rFonts w:ascii="Calibri" w:hAnsi="Calibri" w:cs="Calibri"/>
              </w:rPr>
            </w:pPr>
          </w:p>
          <w:p w14:paraId="3DA89426" w14:textId="3D165E08" w:rsidR="00A21390" w:rsidRPr="00680020" w:rsidRDefault="00B6521F" w:rsidP="00C33EAA">
            <w:pPr>
              <w:rPr>
                <w:rFonts w:cstheme="minorHAnsi"/>
                <w:lang w:val="en-GB"/>
              </w:rPr>
            </w:pPr>
            <w:r w:rsidRPr="0003503B">
              <w:rPr>
                <w:rFonts w:ascii="Calibri" w:hAnsi="Calibri" w:cs="Calibri"/>
              </w:rPr>
              <w:t xml:space="preserve">Consensual sexual intercourse between children aged 16-18 is not considered rape. (Section 183 of the Penal Code Amendment Act 2011) </w:t>
            </w:r>
          </w:p>
          <w:p w14:paraId="07484B60" w14:textId="77777777" w:rsidR="00A21390" w:rsidRPr="00680020" w:rsidRDefault="00A21390" w:rsidP="00C33EAA">
            <w:pPr>
              <w:rPr>
                <w:rFonts w:cstheme="minorHAnsi"/>
                <w:lang w:val="en-GB"/>
              </w:rPr>
            </w:pPr>
          </w:p>
        </w:tc>
      </w:tr>
      <w:tr w:rsidR="00A21390" w:rsidRPr="00680020" w14:paraId="4C780032" w14:textId="77777777" w:rsidTr="00A21390">
        <w:trPr>
          <w:trHeight w:val="539"/>
        </w:trPr>
        <w:tc>
          <w:tcPr>
            <w:tcW w:w="425" w:type="dxa"/>
          </w:tcPr>
          <w:p w14:paraId="07D552A9"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1DD0D644" w14:textId="77777777" w:rsidR="00A21390" w:rsidRPr="00680020" w:rsidRDefault="00A21390" w:rsidP="00C33EAA">
            <w:pPr>
              <w:rPr>
                <w:rFonts w:cstheme="minorHAnsi"/>
                <w:lang w:val="en-GB"/>
              </w:rPr>
            </w:pPr>
            <w:r w:rsidRPr="00680020">
              <w:rPr>
                <w:rFonts w:eastAsia="Calibri" w:cstheme="minorHAnsi"/>
              </w:rPr>
              <w:t xml:space="preserve">Have a law or regulation establishing a </w:t>
            </w:r>
            <w:r w:rsidRPr="00680020">
              <w:rPr>
                <w:rFonts w:eastAsia="Calibri" w:cstheme="minorHAnsi"/>
                <w:b/>
              </w:rPr>
              <w:t>mechanism for centrally registering sex offenders</w:t>
            </w:r>
            <w:r w:rsidRPr="00680020">
              <w:rPr>
                <w:rFonts w:eastAsia="Calibri" w:cstheme="minorHAnsi"/>
              </w:rPr>
              <w:t xml:space="preserve"> that has been implemented/setup.</w:t>
            </w:r>
          </w:p>
        </w:tc>
        <w:tc>
          <w:tcPr>
            <w:tcW w:w="1701" w:type="dxa"/>
          </w:tcPr>
          <w:p w14:paraId="6FB8C35F"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No </w:t>
            </w:r>
          </w:p>
        </w:tc>
        <w:tc>
          <w:tcPr>
            <w:tcW w:w="6520" w:type="dxa"/>
          </w:tcPr>
          <w:p w14:paraId="17B316A2" w14:textId="54E30B11" w:rsidR="00A21390" w:rsidRPr="00680020" w:rsidRDefault="00B6521F" w:rsidP="00C33EAA">
            <w:pPr>
              <w:rPr>
                <w:rFonts w:cstheme="minorHAnsi"/>
                <w:lang w:val="en-GB"/>
              </w:rPr>
            </w:pPr>
            <w:r>
              <w:rPr>
                <w:rFonts w:ascii="Calibri" w:hAnsi="Calibri" w:cs="Calibri"/>
                <w:lang w:val="en-GB"/>
              </w:rPr>
              <w:t xml:space="preserve">At present, there is no law that provides for the establishment of a sex offender registry in Bhutan. Read more </w:t>
            </w:r>
            <w:hyperlink r:id="rId13" w:history="1">
              <w:r w:rsidRPr="001020E7">
                <w:rPr>
                  <w:rStyle w:val="Hyperlink"/>
                  <w:rFonts w:ascii="Calibri" w:hAnsi="Calibri" w:cs="Calibri"/>
                  <w:lang w:val="en-GB"/>
                </w:rPr>
                <w:t>here</w:t>
              </w:r>
            </w:hyperlink>
            <w:r>
              <w:rPr>
                <w:rFonts w:ascii="Calibri" w:hAnsi="Calibri" w:cs="Calibri"/>
                <w:lang w:val="en-GB"/>
              </w:rPr>
              <w:t>.</w:t>
            </w:r>
          </w:p>
        </w:tc>
      </w:tr>
      <w:tr w:rsidR="00A21390" w:rsidRPr="00680020" w14:paraId="3E531206" w14:textId="77777777" w:rsidTr="00A21390">
        <w:trPr>
          <w:trHeight w:val="920"/>
        </w:trPr>
        <w:tc>
          <w:tcPr>
            <w:tcW w:w="425" w:type="dxa"/>
          </w:tcPr>
          <w:p w14:paraId="32AC529C"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17E9F959" w14:textId="77777777" w:rsidR="00A21390" w:rsidRPr="00680020" w:rsidRDefault="00A21390" w:rsidP="00C33EAA">
            <w:pPr>
              <w:spacing w:after="160"/>
              <w:rPr>
                <w:rFonts w:cstheme="minorHAnsi"/>
                <w:lang w:val="en-GB"/>
              </w:rPr>
            </w:pPr>
            <w:r w:rsidRPr="00D42F68">
              <w:rPr>
                <w:rFonts w:ascii="Calibri" w:eastAsia="Calibri" w:hAnsi="Calibri" w:cs="Calibri"/>
              </w:rPr>
              <w:t xml:space="preserve">Establish </w:t>
            </w:r>
            <w:r>
              <w:rPr>
                <w:rFonts w:ascii="Calibri" w:eastAsia="Calibri" w:hAnsi="Calibri" w:cs="Calibri"/>
                <w:b/>
              </w:rPr>
              <w:t>bail</w:t>
            </w:r>
            <w:r w:rsidRPr="00D42F68">
              <w:rPr>
                <w:rFonts w:ascii="Calibri" w:eastAsia="Calibri" w:hAnsi="Calibri" w:cs="Calibri"/>
                <w:b/>
              </w:rPr>
              <w:t xml:space="preserve"> conditions</w:t>
            </w:r>
            <w:r w:rsidRPr="00D42F68">
              <w:rPr>
                <w:rFonts w:ascii="Calibri" w:eastAsia="Calibri" w:hAnsi="Calibri" w:cs="Calibri"/>
              </w:rPr>
              <w:t xml:space="preserve"> that prohibit individual accused of sexual offences against children from traveling outside of the country.</w:t>
            </w:r>
          </w:p>
        </w:tc>
        <w:tc>
          <w:tcPr>
            <w:tcW w:w="1701" w:type="dxa"/>
          </w:tcPr>
          <w:p w14:paraId="060F9A89"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Partially </w:t>
            </w:r>
          </w:p>
        </w:tc>
        <w:tc>
          <w:tcPr>
            <w:tcW w:w="6520" w:type="dxa"/>
          </w:tcPr>
          <w:p w14:paraId="793BA77F" w14:textId="77777777" w:rsidR="00B6521F" w:rsidRDefault="00B6521F" w:rsidP="00B6521F">
            <w:pPr>
              <w:spacing w:after="160"/>
              <w:jc w:val="both"/>
              <w:rPr>
                <w:rFonts w:ascii="Calibri" w:hAnsi="Calibri" w:cs="Calibri"/>
                <w:lang w:val="en-GB"/>
              </w:rPr>
            </w:pPr>
            <w:r>
              <w:rPr>
                <w:rFonts w:ascii="Calibri" w:hAnsi="Calibri" w:cs="Calibri"/>
                <w:lang w:val="en-GB"/>
              </w:rPr>
              <w:t>There are no laws in Bhutan that exclude SEC offences committed abroad from bail.</w:t>
            </w:r>
          </w:p>
          <w:p w14:paraId="0CD7653A" w14:textId="0095A003" w:rsidR="00A21390" w:rsidRPr="00680020" w:rsidRDefault="00B6521F" w:rsidP="00B6521F">
            <w:pPr>
              <w:rPr>
                <w:rFonts w:cstheme="minorHAnsi"/>
                <w:lang w:val="en-GB"/>
              </w:rPr>
            </w:pPr>
            <w:r>
              <w:rPr>
                <w:rFonts w:ascii="Calibri" w:hAnsi="Calibri" w:cs="Calibri"/>
                <w:lang w:val="en-GB"/>
              </w:rPr>
              <w:t xml:space="preserve">Notwithstanding, the general conditions applicable to bailable/non-bailable offences could still be applicable. According to </w:t>
            </w:r>
            <w:r>
              <w:rPr>
                <w:rFonts w:ascii="Calibri" w:hAnsi="Calibri" w:cs="Calibri"/>
              </w:rPr>
              <w:t xml:space="preserve">Civil and Criminal Procedure Code Amendment Act, 2011, </w:t>
            </w:r>
            <w:r>
              <w:rPr>
                <w:rFonts w:ascii="Calibri" w:hAnsi="Calibri" w:cs="Calibri"/>
                <w:lang w:val="en-GB"/>
              </w:rPr>
              <w:t>n</w:t>
            </w:r>
            <w:r w:rsidRPr="00B02A82">
              <w:rPr>
                <w:rFonts w:ascii="Calibri" w:hAnsi="Calibri" w:cs="Calibri"/>
                <w:lang w:val="en-GB"/>
              </w:rPr>
              <w:t xml:space="preserve">on-bailable offences </w:t>
            </w:r>
            <w:r>
              <w:rPr>
                <w:rFonts w:ascii="Calibri" w:hAnsi="Calibri" w:cs="Calibri"/>
                <w:lang w:val="en-GB"/>
              </w:rPr>
              <w:t>include</w:t>
            </w:r>
            <w:r w:rsidRPr="00B02A82">
              <w:rPr>
                <w:rFonts w:ascii="Calibri" w:hAnsi="Calibri" w:cs="Calibri"/>
                <w:lang w:val="en-GB"/>
              </w:rPr>
              <w:t xml:space="preserve"> </w:t>
            </w:r>
            <w:r w:rsidRPr="00B02A82">
              <w:rPr>
                <w:rFonts w:ascii="Calibri" w:hAnsi="Calibri" w:cs="Calibri"/>
              </w:rPr>
              <w:t>offences against the security and sovereignty of the country; and offences of or above felony of the second degree.</w:t>
            </w:r>
            <w:r>
              <w:rPr>
                <w:rFonts w:ascii="Calibri" w:hAnsi="Calibri" w:cs="Calibri"/>
              </w:rPr>
              <w:t xml:space="preserve"> (Section 199.8A) Since </w:t>
            </w:r>
            <w:r>
              <w:rPr>
                <w:rFonts w:ascii="Calibri" w:hAnsi="Calibri" w:cs="Calibri"/>
                <w:lang w:val="en-GB"/>
              </w:rPr>
              <w:t>m</w:t>
            </w:r>
            <w:r w:rsidRPr="00B02A82">
              <w:rPr>
                <w:rFonts w:ascii="Calibri" w:hAnsi="Calibri" w:cs="Calibri"/>
                <w:lang w:val="en-GB"/>
              </w:rPr>
              <w:t>ost of the SEC</w:t>
            </w:r>
            <w:r>
              <w:rPr>
                <w:rFonts w:ascii="Calibri" w:hAnsi="Calibri" w:cs="Calibri"/>
                <w:lang w:val="en-GB"/>
              </w:rPr>
              <w:t xml:space="preserve"> </w:t>
            </w:r>
            <w:r w:rsidRPr="00B02A82">
              <w:rPr>
                <w:rFonts w:ascii="Calibri" w:hAnsi="Calibri" w:cs="Calibri"/>
                <w:lang w:val="en-GB"/>
              </w:rPr>
              <w:t>offences</w:t>
            </w:r>
            <w:r>
              <w:rPr>
                <w:rFonts w:ascii="Calibri" w:hAnsi="Calibri" w:cs="Calibri"/>
                <w:lang w:val="en-GB"/>
              </w:rPr>
              <w:t xml:space="preserve"> are felonies of the third degree,</w:t>
            </w:r>
            <w:r w:rsidRPr="00B02A82">
              <w:rPr>
                <w:rFonts w:ascii="Calibri" w:hAnsi="Calibri" w:cs="Calibri"/>
                <w:lang w:val="en-GB"/>
              </w:rPr>
              <w:t xml:space="preserve"> </w:t>
            </w:r>
            <w:r>
              <w:rPr>
                <w:rFonts w:ascii="Calibri" w:hAnsi="Calibri" w:cs="Calibri"/>
                <w:lang w:val="en-GB"/>
              </w:rPr>
              <w:t xml:space="preserve">they </w:t>
            </w:r>
            <w:r w:rsidRPr="00B02A82">
              <w:rPr>
                <w:rFonts w:ascii="Calibri" w:hAnsi="Calibri" w:cs="Calibri"/>
                <w:lang w:val="en-GB"/>
              </w:rPr>
              <w:t xml:space="preserve">are bailable </w:t>
            </w:r>
            <w:r>
              <w:rPr>
                <w:rFonts w:ascii="Calibri" w:hAnsi="Calibri" w:cs="Calibri"/>
                <w:lang w:val="en-GB"/>
              </w:rPr>
              <w:t xml:space="preserve">offences. </w:t>
            </w:r>
            <w:r w:rsidRPr="00780A8A">
              <w:rPr>
                <w:rFonts w:ascii="Calibri" w:hAnsi="Calibri" w:cs="Calibri"/>
              </w:rPr>
              <w:t xml:space="preserve">For bailable offence, the Court may grant bail taking into consideration some factors such as </w:t>
            </w:r>
            <w:r w:rsidRPr="00780A8A">
              <w:rPr>
                <w:rFonts w:ascii="Calibri" w:hAnsi="Calibri" w:cs="Calibri"/>
              </w:rPr>
              <w:lastRenderedPageBreak/>
              <w:t>the gravity of the offence, past criminal record, etc. (Section 199.2 of the Civil and Criminal Procedure Code</w:t>
            </w:r>
            <w:r>
              <w:rPr>
                <w:rFonts w:ascii="Calibri" w:hAnsi="Calibri" w:cs="Calibri"/>
              </w:rPr>
              <w:t>, 2001</w:t>
            </w:r>
            <w:r w:rsidRPr="00780A8A">
              <w:rPr>
                <w:rFonts w:ascii="Calibri" w:hAnsi="Calibri" w:cs="Calibri"/>
              </w:rPr>
              <w:t>). A person released on bail is required to</w:t>
            </w:r>
            <w:r>
              <w:rPr>
                <w:rFonts w:ascii="Calibri" w:hAnsi="Calibri" w:cs="Calibri"/>
              </w:rPr>
              <w:t xml:space="preserve"> </w:t>
            </w:r>
            <w:r w:rsidRPr="00780A8A">
              <w:rPr>
                <w:rFonts w:ascii="Calibri" w:hAnsi="Calibri" w:cs="Calibri"/>
              </w:rPr>
              <w:t>“remain within the limits of any particular area as prescribed in the bail order”. [Section 199.4(b)]</w:t>
            </w:r>
            <w:r>
              <w:rPr>
                <w:rFonts w:ascii="Calibri" w:hAnsi="Calibri" w:cs="Calibri"/>
              </w:rPr>
              <w:t xml:space="preserve"> These provisions could apply to extraterritorial jurisdiction of the courts in Bhutan.</w:t>
            </w:r>
          </w:p>
        </w:tc>
      </w:tr>
      <w:tr w:rsidR="00A21390" w:rsidRPr="00680020" w14:paraId="7A7B6F02" w14:textId="77777777" w:rsidTr="00A21390">
        <w:trPr>
          <w:trHeight w:val="640"/>
        </w:trPr>
        <w:tc>
          <w:tcPr>
            <w:tcW w:w="425" w:type="dxa"/>
          </w:tcPr>
          <w:p w14:paraId="13E7539D"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2C7F62F0" w14:textId="77777777" w:rsidR="00A21390" w:rsidRPr="00680020" w:rsidRDefault="00A21390" w:rsidP="00C33EAA">
            <w:pPr>
              <w:spacing w:after="160"/>
              <w:rPr>
                <w:rFonts w:cstheme="minorHAnsi"/>
                <w:lang w:val="en-GB"/>
              </w:rPr>
            </w:pPr>
            <w:r w:rsidRPr="00D42F68">
              <w:rPr>
                <w:rFonts w:ascii="Calibri" w:eastAsia="Calibri" w:hAnsi="Calibri" w:cs="Calibri"/>
              </w:rPr>
              <w:t xml:space="preserve">Provide in law that the </w:t>
            </w:r>
            <w:r w:rsidRPr="00D42F68">
              <w:rPr>
                <w:rFonts w:ascii="Calibri" w:eastAsia="Calibri" w:hAnsi="Calibri" w:cs="Calibri"/>
                <w:b/>
              </w:rPr>
              <w:t>mere attempt</w:t>
            </w:r>
            <w:r w:rsidRPr="00D42F68">
              <w:rPr>
                <w:rFonts w:ascii="Calibri" w:eastAsia="Calibri" w:hAnsi="Calibri" w:cs="Calibri"/>
              </w:rPr>
              <w:t xml:space="preserve"> to commit a crime of sexual exploitation of children is </w:t>
            </w:r>
            <w:proofErr w:type="spellStart"/>
            <w:r w:rsidRPr="00D42F68">
              <w:rPr>
                <w:rFonts w:ascii="Calibri" w:eastAsia="Calibri" w:hAnsi="Calibri" w:cs="Calibri"/>
              </w:rPr>
              <w:t>criminalised</w:t>
            </w:r>
            <w:proofErr w:type="spellEnd"/>
            <w:r w:rsidRPr="00D42F68">
              <w:rPr>
                <w:rFonts w:ascii="Calibri" w:eastAsia="Calibri" w:hAnsi="Calibri" w:cs="Calibri"/>
              </w:rPr>
              <w:t>.</w:t>
            </w:r>
          </w:p>
        </w:tc>
        <w:tc>
          <w:tcPr>
            <w:tcW w:w="1701" w:type="dxa"/>
          </w:tcPr>
          <w:p w14:paraId="2E034DCE" w14:textId="4A75DE4B" w:rsidR="00A21390" w:rsidRPr="00A20A79" w:rsidRDefault="00B6521F" w:rsidP="00C33EAA">
            <w:pPr>
              <w:rPr>
                <w:rFonts w:cstheme="minorHAnsi"/>
                <w:bCs/>
                <w:color w:val="000000" w:themeColor="text1"/>
                <w:lang w:val="en-GB"/>
              </w:rPr>
            </w:pPr>
            <w:r>
              <w:rPr>
                <w:rFonts w:cstheme="minorHAnsi"/>
                <w:bCs/>
                <w:color w:val="000000" w:themeColor="text1"/>
                <w:lang w:val="en-GB"/>
              </w:rPr>
              <w:t>Yes</w:t>
            </w:r>
          </w:p>
        </w:tc>
        <w:tc>
          <w:tcPr>
            <w:tcW w:w="6520" w:type="dxa"/>
          </w:tcPr>
          <w:p w14:paraId="3D75DE58" w14:textId="77777777" w:rsidR="00B6521F" w:rsidRDefault="00B6521F" w:rsidP="00B6521F">
            <w:pPr>
              <w:spacing w:after="160"/>
              <w:jc w:val="both"/>
              <w:rPr>
                <w:rFonts w:ascii="Calibri" w:hAnsi="Calibri" w:cs="Calibri"/>
              </w:rPr>
            </w:pPr>
            <w:r>
              <w:rPr>
                <w:rFonts w:ascii="Calibri" w:hAnsi="Calibri" w:cs="Calibri"/>
              </w:rPr>
              <w:t xml:space="preserve">Chapter 10 of the Penal Code </w:t>
            </w:r>
            <w:proofErr w:type="spellStart"/>
            <w:r>
              <w:rPr>
                <w:rFonts w:ascii="Calibri" w:hAnsi="Calibri" w:cs="Calibri"/>
              </w:rPr>
              <w:t>criminalises</w:t>
            </w:r>
            <w:proofErr w:type="spellEnd"/>
            <w:r>
              <w:rPr>
                <w:rFonts w:ascii="Calibri" w:hAnsi="Calibri" w:cs="Calibri"/>
              </w:rPr>
              <w:t xml:space="preserve"> </w:t>
            </w:r>
            <w:r w:rsidRPr="00DD6A84">
              <w:rPr>
                <w:rFonts w:ascii="Calibri" w:hAnsi="Calibri" w:cs="Calibri"/>
              </w:rPr>
              <w:t>attempt, aiding and abetting, solicitation, and criminal conspiracy</w:t>
            </w:r>
            <w:r>
              <w:rPr>
                <w:rFonts w:ascii="Calibri" w:hAnsi="Calibri" w:cs="Calibri"/>
              </w:rPr>
              <w:t xml:space="preserve"> in relation to crimes. </w:t>
            </w:r>
          </w:p>
          <w:p w14:paraId="4FCCAFA7" w14:textId="4ACC50DB" w:rsidR="00A21390" w:rsidRPr="00B6521F" w:rsidRDefault="00A21390" w:rsidP="00C33EAA">
            <w:pPr>
              <w:rPr>
                <w:rFonts w:cstheme="minorHAnsi"/>
              </w:rPr>
            </w:pPr>
          </w:p>
        </w:tc>
      </w:tr>
      <w:tr w:rsidR="00A21390" w:rsidRPr="00680020" w14:paraId="41F5E5B0" w14:textId="77777777" w:rsidTr="00A21390">
        <w:trPr>
          <w:trHeight w:val="144"/>
        </w:trPr>
        <w:tc>
          <w:tcPr>
            <w:tcW w:w="425" w:type="dxa"/>
          </w:tcPr>
          <w:p w14:paraId="6C5E9BA8"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048666A8" w14:textId="77777777" w:rsidR="00A21390" w:rsidRPr="00680020" w:rsidRDefault="00A21390" w:rsidP="00C33EAA">
            <w:pPr>
              <w:rPr>
                <w:rFonts w:cstheme="minorHAnsi"/>
                <w:lang w:val="en-GB"/>
              </w:rPr>
            </w:pPr>
            <w:r w:rsidRPr="00C47F33">
              <w:rPr>
                <w:rFonts w:ascii="Calibri" w:eastAsia="Calibri" w:hAnsi="Calibri" w:cs="Calibri"/>
              </w:rPr>
              <w:t xml:space="preserve">Impose more severe sentences for </w:t>
            </w:r>
            <w:r w:rsidRPr="00C47F33">
              <w:rPr>
                <w:rFonts w:ascii="Calibri" w:eastAsia="Calibri" w:hAnsi="Calibri" w:cs="Calibri"/>
                <w:b/>
              </w:rPr>
              <w:t>reoffending</w:t>
            </w:r>
            <w:r w:rsidRPr="00C47F33">
              <w:rPr>
                <w:rFonts w:ascii="Calibri" w:eastAsia="Calibri" w:hAnsi="Calibri" w:cs="Calibri"/>
              </w:rPr>
              <w:t xml:space="preserve"> in case of sexual exploitation against children, </w:t>
            </w:r>
            <w:proofErr w:type="gramStart"/>
            <w:r w:rsidRPr="00C47F33">
              <w:rPr>
                <w:rFonts w:ascii="Calibri" w:eastAsia="Calibri" w:hAnsi="Calibri" w:cs="Calibri"/>
              </w:rPr>
              <w:t>e.g.</w:t>
            </w:r>
            <w:proofErr w:type="gramEnd"/>
            <w:r w:rsidRPr="00C47F33">
              <w:rPr>
                <w:rFonts w:ascii="Calibri" w:eastAsia="Calibri" w:hAnsi="Calibri" w:cs="Calibri"/>
              </w:rPr>
              <w:t xml:space="preserve"> by defining reoffending as an aggravating circumstance, regardless of whether the crimes were perpetrated abroad or in-country.</w:t>
            </w:r>
          </w:p>
        </w:tc>
        <w:tc>
          <w:tcPr>
            <w:tcW w:w="1701" w:type="dxa"/>
          </w:tcPr>
          <w:p w14:paraId="331D00CA"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Yes </w:t>
            </w:r>
          </w:p>
        </w:tc>
        <w:tc>
          <w:tcPr>
            <w:tcW w:w="6520" w:type="dxa"/>
          </w:tcPr>
          <w:p w14:paraId="1436C258" w14:textId="77777777" w:rsidR="00B6521F" w:rsidRPr="0003503B" w:rsidRDefault="00B6521F" w:rsidP="00B6521F">
            <w:pPr>
              <w:jc w:val="both"/>
              <w:rPr>
                <w:rFonts w:ascii="Calibri" w:hAnsi="Calibri" w:cs="Calibri"/>
              </w:rPr>
            </w:pPr>
            <w:r w:rsidRPr="0003503B">
              <w:rPr>
                <w:rFonts w:ascii="Calibri" w:hAnsi="Calibri" w:cs="Calibri"/>
              </w:rPr>
              <w:t xml:space="preserve">According to Section 24 of the Penal Code, “aggravating circumstances for sentencing shall include: (a) The crime is committed by a defendant, who has previously been convicted of a crime that was punishable by imprisonment or a crime of the same or similar nature;”.  </w:t>
            </w:r>
          </w:p>
          <w:p w14:paraId="6BBCB843" w14:textId="13CA538F" w:rsidR="00A21390" w:rsidRPr="00680020" w:rsidRDefault="00B6521F" w:rsidP="00B6521F">
            <w:pPr>
              <w:rPr>
                <w:rFonts w:cstheme="minorHAnsi"/>
                <w:lang w:val="en-GB"/>
              </w:rPr>
            </w:pPr>
            <w:r w:rsidRPr="0003503B">
              <w:rPr>
                <w:rFonts w:ascii="Calibri" w:hAnsi="Calibri" w:cs="Calibri"/>
              </w:rPr>
              <w:t xml:space="preserve">In case of </w:t>
            </w:r>
            <w:r>
              <w:rPr>
                <w:rFonts w:ascii="Calibri" w:hAnsi="Calibri" w:cs="Calibri"/>
              </w:rPr>
              <w:t xml:space="preserve">a </w:t>
            </w:r>
            <w:r w:rsidRPr="0003503B">
              <w:rPr>
                <w:rFonts w:ascii="Calibri" w:hAnsi="Calibri" w:cs="Calibri"/>
              </w:rPr>
              <w:t>subsequent offence, felonies of the third degree enhanced to felonies of the second degree which carry a punishment of 9-15 years in prison. (Section 15(e), Penal Code)</w:t>
            </w:r>
          </w:p>
        </w:tc>
      </w:tr>
      <w:tr w:rsidR="00A21390" w:rsidRPr="00680020" w14:paraId="43352AFA" w14:textId="77777777" w:rsidTr="00A21390">
        <w:trPr>
          <w:trHeight w:val="864"/>
        </w:trPr>
        <w:tc>
          <w:tcPr>
            <w:tcW w:w="425" w:type="dxa"/>
          </w:tcPr>
          <w:p w14:paraId="11797AD0"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7C694A49" w14:textId="77777777" w:rsidR="00A21390" w:rsidRPr="00680020" w:rsidRDefault="00A21390" w:rsidP="00C33EAA">
            <w:pPr>
              <w:spacing w:after="160"/>
              <w:rPr>
                <w:rFonts w:cstheme="minorHAnsi"/>
                <w:lang w:val="en-GB"/>
              </w:rPr>
            </w:pPr>
            <w:r w:rsidRPr="00A160C0">
              <w:rPr>
                <w:rFonts w:ascii="Calibri" w:eastAsia="Calibri" w:hAnsi="Calibri" w:cs="Calibri"/>
              </w:rPr>
              <w:t xml:space="preserve">Provide for </w:t>
            </w:r>
            <w:r w:rsidRPr="00A160C0">
              <w:rPr>
                <w:rFonts w:ascii="Calibri" w:eastAsia="Calibri" w:hAnsi="Calibri" w:cs="Calibri"/>
                <w:b/>
              </w:rPr>
              <w:t>mandatory reporting</w:t>
            </w:r>
            <w:r w:rsidRPr="00A160C0">
              <w:rPr>
                <w:rFonts w:ascii="Calibri" w:eastAsia="Calibri" w:hAnsi="Calibri" w:cs="Calibri"/>
              </w:rPr>
              <w:t xml:space="preserve"> for </w:t>
            </w:r>
            <w:proofErr w:type="gramStart"/>
            <w:r w:rsidRPr="00A160C0">
              <w:rPr>
                <w:rFonts w:ascii="Calibri" w:eastAsia="Calibri" w:hAnsi="Calibri" w:cs="Calibri"/>
              </w:rPr>
              <w:t>particular professions</w:t>
            </w:r>
            <w:proofErr w:type="gramEnd"/>
            <w:r w:rsidRPr="00A160C0">
              <w:rPr>
                <w:rFonts w:ascii="Calibri" w:eastAsia="Calibri" w:hAnsi="Calibri" w:cs="Calibri"/>
              </w:rPr>
              <w:t xml:space="preserve"> that have likelihood to have contact with kids who might disclose.</w:t>
            </w:r>
          </w:p>
        </w:tc>
        <w:tc>
          <w:tcPr>
            <w:tcW w:w="1701" w:type="dxa"/>
          </w:tcPr>
          <w:p w14:paraId="6E53D2B8" w14:textId="50116A01"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 </w:t>
            </w:r>
            <w:r w:rsidR="00B6521F">
              <w:rPr>
                <w:rFonts w:cstheme="minorHAnsi"/>
                <w:bCs/>
                <w:color w:val="000000" w:themeColor="text1"/>
                <w:lang w:val="en-GB"/>
              </w:rPr>
              <w:t>Partially</w:t>
            </w:r>
          </w:p>
        </w:tc>
        <w:tc>
          <w:tcPr>
            <w:tcW w:w="6520" w:type="dxa"/>
          </w:tcPr>
          <w:p w14:paraId="4BBC9B80" w14:textId="77777777" w:rsidR="00B6521F" w:rsidRDefault="00B6521F" w:rsidP="00B6521F">
            <w:pPr>
              <w:spacing w:after="160"/>
              <w:jc w:val="both"/>
              <w:rPr>
                <w:rFonts w:ascii="Calibri" w:hAnsi="Calibri" w:cs="Calibri"/>
              </w:rPr>
            </w:pPr>
            <w:r>
              <w:rPr>
                <w:rFonts w:ascii="Calibri" w:hAnsi="Calibri" w:cs="Calibri"/>
              </w:rPr>
              <w:t>There are no mandatory reporting duties in relation to cases of sexual exploitation of children. However, Section 430 of the Penal Code penalizes failure to report a crime</w:t>
            </w:r>
            <w:r w:rsidRPr="0003503B">
              <w:rPr>
                <w:rFonts w:ascii="Calibri" w:hAnsi="Calibri" w:cs="Calibri"/>
              </w:rPr>
              <w:t xml:space="preserve">. </w:t>
            </w:r>
            <w:r>
              <w:rPr>
                <w:rFonts w:ascii="Calibri" w:hAnsi="Calibri" w:cs="Calibri"/>
              </w:rPr>
              <w:t xml:space="preserve">Accordingly, a person </w:t>
            </w:r>
            <w:r w:rsidRPr="0003503B">
              <w:rPr>
                <w:rFonts w:ascii="Calibri" w:hAnsi="Calibri" w:cs="Calibri"/>
              </w:rPr>
              <w:t>shall be guilty of th</w:t>
            </w:r>
            <w:r>
              <w:rPr>
                <w:rFonts w:ascii="Calibri" w:hAnsi="Calibri" w:cs="Calibri"/>
              </w:rPr>
              <w:t>is offence</w:t>
            </w:r>
            <w:r w:rsidRPr="0003503B">
              <w:rPr>
                <w:rFonts w:ascii="Calibri" w:hAnsi="Calibri" w:cs="Calibri"/>
              </w:rPr>
              <w:t xml:space="preserve">, if </w:t>
            </w:r>
            <w:r>
              <w:rPr>
                <w:rFonts w:ascii="Calibri" w:hAnsi="Calibri" w:cs="Calibri"/>
              </w:rPr>
              <w:t>he/she</w:t>
            </w:r>
            <w:r w:rsidRPr="0003503B">
              <w:rPr>
                <w:rFonts w:ascii="Calibri" w:hAnsi="Calibri" w:cs="Calibri"/>
              </w:rPr>
              <w:t xml:space="preserve"> witnesses any person committing a crime, does not report it to the lawful authority.</w:t>
            </w:r>
          </w:p>
          <w:p w14:paraId="1DA657DE" w14:textId="77777777" w:rsidR="00B6521F" w:rsidRDefault="00B6521F" w:rsidP="00B6521F">
            <w:pPr>
              <w:spacing w:after="160"/>
              <w:jc w:val="both"/>
              <w:rPr>
                <w:rFonts w:ascii="Calibri" w:hAnsi="Calibri" w:cs="Calibri"/>
              </w:rPr>
            </w:pPr>
            <w:r w:rsidRPr="001112CF">
              <w:rPr>
                <w:rFonts w:ascii="Calibri" w:hAnsi="Calibri" w:cs="Calibri"/>
              </w:rPr>
              <w:t>According to Section 161 of CCPC, “It shall be the duty of every police personnel to promptly detect and apprehend all persons, for whose apprehension sufficient ground exists and to bring offenders to justice”.</w:t>
            </w:r>
            <w:r>
              <w:rPr>
                <w:rFonts w:ascii="Calibri" w:hAnsi="Calibri" w:cs="Calibri"/>
              </w:rPr>
              <w:t xml:space="preserve"> Section 161 lays down the procedure to handle complaints and preliminary investigation in detail. </w:t>
            </w:r>
            <w:r w:rsidRPr="00F23A8C">
              <w:rPr>
                <w:rFonts w:ascii="Calibri" w:hAnsi="Calibri" w:cs="Calibri"/>
              </w:rPr>
              <w:t xml:space="preserve">It is </w:t>
            </w:r>
            <w:proofErr w:type="gramStart"/>
            <w:r w:rsidRPr="00F23A8C">
              <w:rPr>
                <w:rFonts w:ascii="Calibri" w:hAnsi="Calibri" w:cs="Calibri"/>
              </w:rPr>
              <w:t>appears</w:t>
            </w:r>
            <w:proofErr w:type="gramEnd"/>
            <w:r w:rsidRPr="00F23A8C">
              <w:rPr>
                <w:rFonts w:ascii="Calibri" w:hAnsi="Calibri" w:cs="Calibri"/>
              </w:rPr>
              <w:t xml:space="preserve"> that an anonymous complaint is not sufficient to open an investigation as Section 161.</w:t>
            </w:r>
            <w:r>
              <w:rPr>
                <w:rFonts w:ascii="Calibri" w:hAnsi="Calibri" w:cs="Calibri"/>
              </w:rPr>
              <w:t xml:space="preserve">3 </w:t>
            </w:r>
            <w:r w:rsidRPr="00F23A8C">
              <w:rPr>
                <w:rFonts w:ascii="Calibri" w:hAnsi="Calibri" w:cs="Calibri"/>
              </w:rPr>
              <w:t>of CCPC</w:t>
            </w:r>
            <w:r>
              <w:rPr>
                <w:rFonts w:ascii="Calibri" w:hAnsi="Calibri" w:cs="Calibri"/>
              </w:rPr>
              <w:t xml:space="preserve"> requires the complaint to be reduced in writing, if not already done so and Section 161.4 requires</w:t>
            </w:r>
            <w:r w:rsidRPr="00F23A8C">
              <w:rPr>
                <w:rFonts w:ascii="Calibri" w:hAnsi="Calibri" w:cs="Calibri"/>
              </w:rPr>
              <w:t xml:space="preserve"> the police or the person making the statement and the person providing any record or evidence </w:t>
            </w:r>
            <w:r>
              <w:rPr>
                <w:rFonts w:ascii="Calibri" w:hAnsi="Calibri" w:cs="Calibri"/>
              </w:rPr>
              <w:t>to</w:t>
            </w:r>
            <w:r w:rsidRPr="00F23A8C">
              <w:rPr>
                <w:rFonts w:ascii="Calibri" w:hAnsi="Calibri" w:cs="Calibri"/>
              </w:rPr>
              <w:t xml:space="preserve"> sign all statements and records emanating from the investigation.</w:t>
            </w:r>
          </w:p>
          <w:p w14:paraId="11859560" w14:textId="77777777" w:rsidR="00B6521F" w:rsidRDefault="00B6521F" w:rsidP="00B6521F">
            <w:pPr>
              <w:spacing w:after="160"/>
              <w:jc w:val="both"/>
              <w:rPr>
                <w:rFonts w:ascii="Calibri" w:hAnsi="Calibri" w:cs="Calibri"/>
              </w:rPr>
            </w:pPr>
            <w:r>
              <w:rPr>
                <w:rFonts w:ascii="Calibri" w:hAnsi="Calibri" w:cs="Calibri"/>
              </w:rPr>
              <w:lastRenderedPageBreak/>
              <w:t xml:space="preserve">There are no protection mechanisms for those report crimes although there are some provisions for the protection of child victims and witnesses (discussed below). </w:t>
            </w:r>
          </w:p>
          <w:p w14:paraId="2D417513" w14:textId="41ED6807" w:rsidR="00A21390" w:rsidRPr="00680020" w:rsidRDefault="00A21390" w:rsidP="00C33EAA">
            <w:pPr>
              <w:rPr>
                <w:rFonts w:cstheme="minorHAnsi"/>
                <w:highlight w:val="yellow"/>
                <w:lang w:val="en-GB"/>
              </w:rPr>
            </w:pPr>
            <w:r w:rsidRPr="00680020">
              <w:rPr>
                <w:rFonts w:cstheme="minorHAnsi"/>
                <w:highlight w:val="yellow"/>
                <w:lang w:val="en-GB"/>
              </w:rPr>
              <w:br/>
            </w:r>
          </w:p>
        </w:tc>
      </w:tr>
      <w:tr w:rsidR="00A21390" w:rsidRPr="00680020" w14:paraId="0809D4B3" w14:textId="77777777" w:rsidTr="00A21390">
        <w:trPr>
          <w:trHeight w:val="557"/>
        </w:trPr>
        <w:tc>
          <w:tcPr>
            <w:tcW w:w="425" w:type="dxa"/>
          </w:tcPr>
          <w:p w14:paraId="69BE80D3"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4C610DD8" w14:textId="77777777" w:rsidR="00A21390" w:rsidRPr="00680020" w:rsidRDefault="00A21390" w:rsidP="00C33EAA">
            <w:pPr>
              <w:rPr>
                <w:rFonts w:cstheme="minorHAnsi"/>
                <w:lang w:val="en-GB"/>
              </w:rPr>
            </w:pPr>
            <w:r w:rsidRPr="00A160C0">
              <w:rPr>
                <w:rFonts w:ascii="Calibri" w:eastAsia="Calibri" w:hAnsi="Calibri" w:cs="Calibri"/>
              </w:rPr>
              <w:t xml:space="preserve">Establish obligatory government-regulated child protection standards for the tourism industry for example, attach responsibility to an appropriate regulatory authority and/or implement industry specific </w:t>
            </w:r>
            <w:r w:rsidRPr="00A160C0">
              <w:rPr>
                <w:rFonts w:ascii="Calibri" w:eastAsia="Calibri" w:hAnsi="Calibri" w:cs="Calibri"/>
                <w:b/>
              </w:rPr>
              <w:t>national codes for child protection</w:t>
            </w:r>
            <w:r w:rsidRPr="00A160C0">
              <w:rPr>
                <w:rFonts w:ascii="Calibri" w:eastAsia="Calibri" w:hAnsi="Calibri" w:cs="Calibri"/>
              </w:rPr>
              <w:t xml:space="preserve"> as a legal requirement for the travel a</w:t>
            </w:r>
            <w:r>
              <w:rPr>
                <w:rFonts w:ascii="Calibri" w:eastAsia="Calibri" w:hAnsi="Calibri" w:cs="Calibri"/>
              </w:rPr>
              <w:t>nd tourism industry to operate.</w:t>
            </w:r>
          </w:p>
        </w:tc>
        <w:tc>
          <w:tcPr>
            <w:tcW w:w="1701" w:type="dxa"/>
          </w:tcPr>
          <w:p w14:paraId="425D0696"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Yes </w:t>
            </w:r>
          </w:p>
        </w:tc>
        <w:tc>
          <w:tcPr>
            <w:tcW w:w="6520" w:type="dxa"/>
          </w:tcPr>
          <w:p w14:paraId="463A4CEF" w14:textId="77777777" w:rsidR="00B6521F" w:rsidRDefault="00B6521F" w:rsidP="00B6521F">
            <w:pPr>
              <w:jc w:val="both"/>
              <w:rPr>
                <w:rFonts w:ascii="Calibri" w:hAnsi="Calibri" w:cs="Calibri"/>
              </w:rPr>
            </w:pPr>
            <w:r>
              <w:rPr>
                <w:rFonts w:ascii="Calibri" w:hAnsi="Calibri" w:cs="Calibri"/>
              </w:rPr>
              <w:t>Bhutanese government has passed the Tourism Rules and Regulations.</w:t>
            </w:r>
          </w:p>
          <w:p w14:paraId="0D328F61" w14:textId="6B556616" w:rsidR="00B6521F" w:rsidRDefault="00B6521F" w:rsidP="00B6521F">
            <w:pPr>
              <w:jc w:val="both"/>
              <w:rPr>
                <w:rFonts w:ascii="Calibri" w:hAnsi="Calibri" w:cs="Calibri"/>
              </w:rPr>
            </w:pPr>
            <w:r>
              <w:rPr>
                <w:rFonts w:ascii="Calibri" w:hAnsi="Calibri" w:cs="Calibri"/>
              </w:rPr>
              <w:t xml:space="preserve"> </w:t>
            </w:r>
          </w:p>
          <w:p w14:paraId="67B337CE" w14:textId="2A2D36D6" w:rsidR="00B6521F" w:rsidRDefault="00B6521F" w:rsidP="00B6521F">
            <w:pPr>
              <w:jc w:val="both"/>
              <w:rPr>
                <w:rFonts w:ascii="Calibri" w:hAnsi="Calibri" w:cs="Calibri"/>
              </w:rPr>
            </w:pPr>
            <w:r w:rsidRPr="00A77B6E">
              <w:rPr>
                <w:rFonts w:ascii="Calibri" w:hAnsi="Calibri" w:cs="Calibri"/>
              </w:rPr>
              <w:t>According to 7.1.19(</w:t>
            </w:r>
            <w:proofErr w:type="spellStart"/>
            <w:r w:rsidRPr="00A77B6E">
              <w:rPr>
                <w:rFonts w:ascii="Calibri" w:hAnsi="Calibri" w:cs="Calibri"/>
              </w:rPr>
              <w:t>i</w:t>
            </w:r>
            <w:proofErr w:type="spellEnd"/>
            <w:r w:rsidRPr="00A77B6E">
              <w:rPr>
                <w:rFonts w:ascii="Calibri" w:hAnsi="Calibri" w:cs="Calibri"/>
              </w:rPr>
              <w:t>) of the Tourism Rules and Regulations, “To increase social and economic benefits and decrease negative impact to the local communities, a Tour Operator shall ensure that:</w:t>
            </w:r>
            <w:r>
              <w:rPr>
                <w:rFonts w:ascii="Calibri" w:hAnsi="Calibri" w:cs="Calibri"/>
              </w:rPr>
              <w:t xml:space="preserve"> </w:t>
            </w:r>
            <w:r w:rsidRPr="00A77B6E">
              <w:rPr>
                <w:rFonts w:ascii="Calibri" w:hAnsi="Calibri" w:cs="Calibri"/>
              </w:rPr>
              <w:t xml:space="preserve">he/ she has implemented a policy against commercial exploitation, particularly of children and adolescents, including sexual exploitation”. </w:t>
            </w:r>
            <w:r>
              <w:rPr>
                <w:rFonts w:ascii="Calibri" w:hAnsi="Calibri" w:cs="Calibri"/>
              </w:rPr>
              <w:t>Failure to do so amounts to an offence. (Rule 7.4)</w:t>
            </w:r>
          </w:p>
          <w:p w14:paraId="239D79C6" w14:textId="77777777" w:rsidR="00B6521F" w:rsidRDefault="00B6521F" w:rsidP="00B6521F">
            <w:pPr>
              <w:jc w:val="both"/>
              <w:rPr>
                <w:rFonts w:ascii="Calibri" w:hAnsi="Calibri" w:cs="Calibri"/>
              </w:rPr>
            </w:pPr>
          </w:p>
          <w:p w14:paraId="72C198A5" w14:textId="6170C32F" w:rsidR="00A21390" w:rsidRPr="00680020" w:rsidRDefault="00B6521F" w:rsidP="00B6521F">
            <w:pPr>
              <w:rPr>
                <w:rFonts w:cstheme="minorHAnsi"/>
                <w:lang w:val="en-GB"/>
              </w:rPr>
            </w:pPr>
            <w:r>
              <w:rPr>
                <w:rFonts w:ascii="Calibri" w:hAnsi="Calibri" w:cs="Calibri"/>
              </w:rPr>
              <w:t>Tourism Council of Bhutan is the regulatory authority in-charge of issuing licenses to tour operators, guides, accommodation services, etc. (Rule 2.1.1). A license can be cancelled or suspended for, inter alia, committing felony, indulging in fraudulent activities, or (Rules 2.10 and 2.11), violating the present rules.</w:t>
            </w:r>
          </w:p>
        </w:tc>
      </w:tr>
      <w:tr w:rsidR="00A21390" w:rsidRPr="00680020" w14:paraId="4EA8B292" w14:textId="77777777" w:rsidTr="00A21390">
        <w:trPr>
          <w:trHeight w:val="432"/>
        </w:trPr>
        <w:tc>
          <w:tcPr>
            <w:tcW w:w="425" w:type="dxa"/>
          </w:tcPr>
          <w:p w14:paraId="7C319A16"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15F12DA3" w14:textId="77777777" w:rsidR="00A21390" w:rsidRPr="00F93302" w:rsidRDefault="00A21390" w:rsidP="00C33EAA">
            <w:pPr>
              <w:jc w:val="both"/>
              <w:rPr>
                <w:rFonts w:cstheme="minorHAnsi"/>
              </w:rPr>
            </w:pPr>
            <w:r w:rsidRPr="00F93302">
              <w:rPr>
                <w:rFonts w:cstheme="minorHAnsi"/>
              </w:rPr>
              <w:t xml:space="preserve">Ensure the </w:t>
            </w:r>
            <w:r w:rsidRPr="00F93302">
              <w:rPr>
                <w:rFonts w:cstheme="minorHAnsi"/>
                <w:b/>
              </w:rPr>
              <w:t>liability of travel and tourism businesses</w:t>
            </w:r>
            <w:r w:rsidRPr="00F93302">
              <w:rPr>
                <w:rFonts w:cstheme="minorHAnsi"/>
              </w:rPr>
              <w:t xml:space="preserve"> (in operations and supply chains) for criminal conduct including:</w:t>
            </w:r>
          </w:p>
          <w:p w14:paraId="60709291" w14:textId="77777777" w:rsidR="00A21390" w:rsidRPr="00F93302" w:rsidRDefault="00A21390" w:rsidP="00A21390">
            <w:pPr>
              <w:pStyle w:val="ListParagraph"/>
              <w:numPr>
                <w:ilvl w:val="0"/>
                <w:numId w:val="5"/>
              </w:numPr>
              <w:spacing w:line="240" w:lineRule="auto"/>
              <w:jc w:val="both"/>
              <w:rPr>
                <w:rFonts w:asciiTheme="minorHAnsi" w:hAnsiTheme="minorHAnsi" w:cstheme="minorHAnsi"/>
              </w:rPr>
            </w:pPr>
            <w:proofErr w:type="spellStart"/>
            <w:r w:rsidRPr="00F93302">
              <w:rPr>
                <w:rFonts w:asciiTheme="minorHAnsi" w:hAnsiTheme="minorHAnsi" w:cstheme="minorHAnsi"/>
              </w:rPr>
              <w:t>Organising</w:t>
            </w:r>
            <w:proofErr w:type="spellEnd"/>
            <w:r w:rsidRPr="00F93302">
              <w:rPr>
                <w:rFonts w:asciiTheme="minorHAnsi" w:hAnsiTheme="minorHAnsi" w:cstheme="minorHAnsi"/>
              </w:rPr>
              <w:t xml:space="preserve"> travel arrangements or transportation that are explicitly or implicitly meant to create or facilitate opportunities to engage (involve) children in sexual </w:t>
            </w:r>
            <w:proofErr w:type="gramStart"/>
            <w:r w:rsidRPr="00F93302">
              <w:rPr>
                <w:rFonts w:asciiTheme="minorHAnsi" w:hAnsiTheme="minorHAnsi" w:cstheme="minorHAnsi"/>
              </w:rPr>
              <w:t>activities;</w:t>
            </w:r>
            <w:proofErr w:type="gramEnd"/>
          </w:p>
          <w:p w14:paraId="59B3A209" w14:textId="77777777" w:rsidR="00A21390" w:rsidRPr="00F93302" w:rsidRDefault="00A21390" w:rsidP="00A21390">
            <w:pPr>
              <w:pStyle w:val="ListParagraph"/>
              <w:numPr>
                <w:ilvl w:val="0"/>
                <w:numId w:val="5"/>
              </w:numPr>
              <w:spacing w:line="240" w:lineRule="auto"/>
              <w:jc w:val="both"/>
              <w:rPr>
                <w:rFonts w:asciiTheme="minorHAnsi" w:hAnsiTheme="minorHAnsi" w:cstheme="minorHAnsi"/>
              </w:rPr>
            </w:pPr>
            <w:r w:rsidRPr="00F93302">
              <w:rPr>
                <w:rFonts w:asciiTheme="minorHAnsi" w:hAnsiTheme="minorHAnsi" w:cstheme="minorHAnsi"/>
              </w:rPr>
              <w:t>Procuring, aiding or abetting the exploitat</w:t>
            </w:r>
            <w:r>
              <w:rPr>
                <w:rFonts w:asciiTheme="minorHAnsi" w:hAnsiTheme="minorHAnsi" w:cstheme="minorHAnsi"/>
              </w:rPr>
              <w:t xml:space="preserve">ive sexual </w:t>
            </w:r>
            <w:r w:rsidRPr="00F93302">
              <w:rPr>
                <w:rFonts w:asciiTheme="minorHAnsi" w:hAnsiTheme="minorHAnsi" w:cstheme="minorHAnsi"/>
              </w:rPr>
              <w:t xml:space="preserve">conduct with a </w:t>
            </w:r>
            <w:proofErr w:type="gramStart"/>
            <w:r w:rsidRPr="00F93302">
              <w:rPr>
                <w:rFonts w:asciiTheme="minorHAnsi" w:hAnsiTheme="minorHAnsi" w:cstheme="minorHAnsi"/>
              </w:rPr>
              <w:t>child;</w:t>
            </w:r>
            <w:proofErr w:type="gramEnd"/>
          </w:p>
          <w:p w14:paraId="5B5C198C" w14:textId="77777777" w:rsidR="00A21390" w:rsidRDefault="00A21390" w:rsidP="00A21390">
            <w:pPr>
              <w:pStyle w:val="ListParagraph"/>
              <w:numPr>
                <w:ilvl w:val="0"/>
                <w:numId w:val="5"/>
              </w:numPr>
              <w:spacing w:line="240" w:lineRule="auto"/>
              <w:jc w:val="both"/>
              <w:rPr>
                <w:rFonts w:asciiTheme="minorHAnsi" w:hAnsiTheme="minorHAnsi" w:cstheme="minorHAnsi"/>
              </w:rPr>
            </w:pPr>
            <w:r w:rsidRPr="00F93302">
              <w:rPr>
                <w:rFonts w:asciiTheme="minorHAnsi" w:hAnsiTheme="minorHAnsi" w:cstheme="minorHAnsi"/>
              </w:rPr>
              <w:t xml:space="preserve">Advertising or promoting sexual exploitation of </w:t>
            </w:r>
            <w:proofErr w:type="gramStart"/>
            <w:r w:rsidRPr="00F93302">
              <w:rPr>
                <w:rFonts w:asciiTheme="minorHAnsi" w:hAnsiTheme="minorHAnsi" w:cstheme="minorHAnsi"/>
              </w:rPr>
              <w:t>children;</w:t>
            </w:r>
            <w:proofErr w:type="gramEnd"/>
          </w:p>
          <w:p w14:paraId="774CE75F" w14:textId="77777777" w:rsidR="00A21390" w:rsidRPr="00F93302" w:rsidRDefault="00A21390" w:rsidP="00A21390">
            <w:pPr>
              <w:pStyle w:val="ListParagraph"/>
              <w:numPr>
                <w:ilvl w:val="0"/>
                <w:numId w:val="5"/>
              </w:numPr>
              <w:spacing w:line="240" w:lineRule="auto"/>
              <w:jc w:val="both"/>
              <w:rPr>
                <w:rFonts w:asciiTheme="minorHAnsi" w:hAnsiTheme="minorHAnsi" w:cstheme="minorHAnsi"/>
              </w:rPr>
            </w:pPr>
            <w:r w:rsidRPr="00F93302">
              <w:rPr>
                <w:rFonts w:asciiTheme="minorHAnsi" w:hAnsiTheme="minorHAnsi" w:cstheme="minorHAnsi"/>
              </w:rPr>
              <w:t>Benefitting, by any means, from any form of sexual exploitation of a child (or children) in the context of their travel and tourism business.</w:t>
            </w:r>
          </w:p>
        </w:tc>
        <w:tc>
          <w:tcPr>
            <w:tcW w:w="1701" w:type="dxa"/>
          </w:tcPr>
          <w:p w14:paraId="5C552DB5" w14:textId="04007F44" w:rsidR="00A21390" w:rsidRPr="00A20A79" w:rsidRDefault="00B6521F" w:rsidP="00C33EAA">
            <w:pPr>
              <w:rPr>
                <w:rFonts w:cstheme="minorHAnsi"/>
                <w:bCs/>
                <w:color w:val="000000" w:themeColor="text1"/>
                <w:lang w:val="en-GB"/>
              </w:rPr>
            </w:pPr>
            <w:r>
              <w:rPr>
                <w:rFonts w:cstheme="minorHAnsi"/>
                <w:bCs/>
                <w:color w:val="000000" w:themeColor="text1"/>
                <w:lang w:val="en-GB"/>
              </w:rPr>
              <w:t>Partially</w:t>
            </w:r>
          </w:p>
        </w:tc>
        <w:tc>
          <w:tcPr>
            <w:tcW w:w="6520" w:type="dxa"/>
          </w:tcPr>
          <w:p w14:paraId="3A279998" w14:textId="77777777" w:rsidR="00B6521F" w:rsidRPr="0015464C" w:rsidRDefault="00B6521F" w:rsidP="00B6521F">
            <w:pPr>
              <w:jc w:val="both"/>
              <w:rPr>
                <w:rFonts w:ascii="Calibri" w:hAnsi="Calibri" w:cs="Calibri"/>
              </w:rPr>
            </w:pPr>
            <w:r>
              <w:rPr>
                <w:rFonts w:ascii="Calibri" w:hAnsi="Calibri" w:cs="Calibri"/>
              </w:rPr>
              <w:t xml:space="preserve">The national legislation does not explicitly regulate the private travel and tourism sector for SECTT although they could be held liable under the Tourism Rules and Regulations. </w:t>
            </w:r>
          </w:p>
          <w:p w14:paraId="1C3C21AE" w14:textId="77777777" w:rsidR="00B6521F" w:rsidRPr="0003503B" w:rsidRDefault="00B6521F" w:rsidP="00B6521F">
            <w:pPr>
              <w:jc w:val="both"/>
              <w:rPr>
                <w:rFonts w:ascii="Calibri" w:hAnsi="Calibri" w:cs="Calibri"/>
              </w:rPr>
            </w:pPr>
            <w:r w:rsidRPr="0003503B">
              <w:rPr>
                <w:rFonts w:ascii="Calibri" w:hAnsi="Calibri" w:cs="Calibri"/>
              </w:rPr>
              <w:t xml:space="preserve">According to Section 136 of the Immigration Act of 2007, “Hoteliers, tour operators, contractors, employers of foreign workers, and any other individual shall be bound by this law to consciously adhere to and apply the provisions of this Act”. </w:t>
            </w:r>
          </w:p>
          <w:p w14:paraId="7D53DD4E" w14:textId="70E5C79C" w:rsidR="00A21390" w:rsidRPr="00680020" w:rsidRDefault="00A21390" w:rsidP="00C33EAA">
            <w:pPr>
              <w:rPr>
                <w:rFonts w:cstheme="minorHAnsi"/>
                <w:bCs/>
                <w:lang w:val="en-GB"/>
              </w:rPr>
            </w:pPr>
            <w:r w:rsidRPr="00680020">
              <w:rPr>
                <w:rFonts w:cstheme="minorHAnsi"/>
                <w:bCs/>
                <w:lang w:val="en-GB"/>
              </w:rPr>
              <w:t xml:space="preserve">. </w:t>
            </w:r>
          </w:p>
          <w:p w14:paraId="155DE862" w14:textId="77777777" w:rsidR="00A21390" w:rsidRPr="00680020" w:rsidRDefault="00A21390" w:rsidP="00C33EAA">
            <w:pPr>
              <w:rPr>
                <w:rFonts w:cstheme="minorHAnsi"/>
                <w:lang w:val="en-GB"/>
              </w:rPr>
            </w:pPr>
          </w:p>
        </w:tc>
      </w:tr>
      <w:tr w:rsidR="00A21390" w:rsidRPr="00680020" w14:paraId="30AF292A" w14:textId="77777777" w:rsidTr="00A21390">
        <w:trPr>
          <w:trHeight w:val="720"/>
        </w:trPr>
        <w:tc>
          <w:tcPr>
            <w:tcW w:w="425" w:type="dxa"/>
          </w:tcPr>
          <w:p w14:paraId="38D76301"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39FE00A5" w14:textId="77777777" w:rsidR="00A21390" w:rsidRPr="00680020" w:rsidRDefault="00A21390" w:rsidP="00C33EAA">
            <w:pPr>
              <w:rPr>
                <w:rFonts w:cstheme="minorHAnsi"/>
                <w:lang w:val="en-GB"/>
              </w:rPr>
            </w:pPr>
            <w:proofErr w:type="spellStart"/>
            <w:r w:rsidRPr="00A160C0">
              <w:rPr>
                <w:rFonts w:ascii="Calibri" w:eastAsia="Calibri" w:hAnsi="Calibri" w:cs="Calibri"/>
              </w:rPr>
              <w:t>Criminalise</w:t>
            </w:r>
            <w:proofErr w:type="spellEnd"/>
            <w:r w:rsidRPr="00A160C0">
              <w:rPr>
                <w:rFonts w:ascii="Calibri" w:eastAsia="Calibri" w:hAnsi="Calibri" w:cs="Calibri"/>
              </w:rPr>
              <w:t xml:space="preserve"> the </w:t>
            </w:r>
            <w:r w:rsidRPr="00A160C0">
              <w:rPr>
                <w:rFonts w:ascii="Calibri" w:eastAsia="Calibri" w:hAnsi="Calibri" w:cs="Calibri"/>
                <w:b/>
              </w:rPr>
              <w:t>grooming of children for sexual purposes</w:t>
            </w:r>
            <w:r w:rsidRPr="00A160C0">
              <w:rPr>
                <w:rFonts w:ascii="Calibri" w:eastAsia="Calibri" w:hAnsi="Calibri" w:cs="Calibri"/>
              </w:rPr>
              <w:t xml:space="preserve"> (often called ‘solicitation’ in </w:t>
            </w:r>
            <w:proofErr w:type="gramStart"/>
            <w:r w:rsidRPr="00A160C0">
              <w:rPr>
                <w:rFonts w:ascii="Calibri" w:eastAsia="Calibri" w:hAnsi="Calibri" w:cs="Calibri"/>
              </w:rPr>
              <w:t>law)  including</w:t>
            </w:r>
            <w:proofErr w:type="gramEnd"/>
            <w:r w:rsidRPr="00A160C0">
              <w:rPr>
                <w:rFonts w:ascii="Calibri" w:eastAsia="Calibri" w:hAnsi="Calibri" w:cs="Calibri"/>
              </w:rPr>
              <w:t xml:space="preserve"> through Internet and other communication technologies to facilitate either online or offline sexual exploitation.</w:t>
            </w:r>
          </w:p>
        </w:tc>
        <w:tc>
          <w:tcPr>
            <w:tcW w:w="1701" w:type="dxa"/>
          </w:tcPr>
          <w:p w14:paraId="606B8744" w14:textId="3FFD0621" w:rsidR="00A21390" w:rsidRPr="00A20A79" w:rsidRDefault="00B6521F" w:rsidP="00C33EAA">
            <w:pPr>
              <w:rPr>
                <w:rFonts w:cstheme="minorHAnsi"/>
                <w:bCs/>
                <w:color w:val="000000" w:themeColor="text1"/>
                <w:lang w:val="en-GB"/>
              </w:rPr>
            </w:pPr>
            <w:r>
              <w:rPr>
                <w:rFonts w:cstheme="minorHAnsi"/>
                <w:bCs/>
                <w:color w:val="000000" w:themeColor="text1"/>
                <w:lang w:val="en-GB"/>
              </w:rPr>
              <w:t>No</w:t>
            </w:r>
          </w:p>
        </w:tc>
        <w:tc>
          <w:tcPr>
            <w:tcW w:w="6520" w:type="dxa"/>
          </w:tcPr>
          <w:p w14:paraId="7871D166" w14:textId="77777777" w:rsidR="00B6521F" w:rsidRDefault="00B6521F" w:rsidP="00B6521F">
            <w:pPr>
              <w:jc w:val="both"/>
              <w:rPr>
                <w:rFonts w:ascii="Calibri" w:hAnsi="Calibri" w:cs="Calibri"/>
              </w:rPr>
            </w:pPr>
            <w:r>
              <w:rPr>
                <w:rFonts w:ascii="Calibri" w:hAnsi="Calibri" w:cs="Calibri"/>
              </w:rPr>
              <w:t xml:space="preserve">Although grooming is not explicitly </w:t>
            </w:r>
            <w:proofErr w:type="spellStart"/>
            <w:r>
              <w:rPr>
                <w:rFonts w:ascii="Calibri" w:hAnsi="Calibri" w:cs="Calibri"/>
              </w:rPr>
              <w:t>criminalised</w:t>
            </w:r>
            <w:proofErr w:type="spellEnd"/>
            <w:r>
              <w:rPr>
                <w:rFonts w:ascii="Calibri" w:hAnsi="Calibri" w:cs="Calibri"/>
              </w:rPr>
              <w:t xml:space="preserve">, acts constituting grooming could still run afoul of the following laws. </w:t>
            </w:r>
          </w:p>
          <w:p w14:paraId="417B28C5" w14:textId="77777777" w:rsidR="00B6521F" w:rsidRPr="0003503B" w:rsidRDefault="00B6521F" w:rsidP="00B6521F">
            <w:pPr>
              <w:jc w:val="both"/>
              <w:rPr>
                <w:rFonts w:ascii="Calibri" w:hAnsi="Calibri" w:cs="Calibri"/>
              </w:rPr>
            </w:pPr>
            <w:r w:rsidRPr="0003503B">
              <w:rPr>
                <w:rFonts w:ascii="Calibri" w:hAnsi="Calibri" w:cs="Calibri"/>
              </w:rPr>
              <w:t xml:space="preserve">The Penal Code </w:t>
            </w:r>
            <w:proofErr w:type="spellStart"/>
            <w:r w:rsidRPr="0003503B">
              <w:rPr>
                <w:rFonts w:ascii="Calibri" w:hAnsi="Calibri" w:cs="Calibri"/>
              </w:rPr>
              <w:t>criminalises</w:t>
            </w:r>
            <w:proofErr w:type="spellEnd"/>
            <w:r w:rsidRPr="0003503B">
              <w:rPr>
                <w:rFonts w:ascii="Calibri" w:hAnsi="Calibri" w:cs="Calibri"/>
              </w:rPr>
              <w:t xml:space="preserve"> pedophilia under Section 225. Among other things, a person shall be guilty of this offence if he or she solicits directly or indirectly the services of a child for sex. </w:t>
            </w:r>
          </w:p>
          <w:p w14:paraId="183126EE" w14:textId="2CD7EB01" w:rsidR="00A21390" w:rsidRPr="00680020" w:rsidRDefault="00B6521F" w:rsidP="00B6521F">
            <w:pPr>
              <w:rPr>
                <w:rFonts w:cstheme="minorHAnsi"/>
                <w:lang w:val="en-GB"/>
              </w:rPr>
            </w:pPr>
            <w:r w:rsidRPr="0003503B">
              <w:rPr>
                <w:rFonts w:ascii="Calibri" w:hAnsi="Calibri" w:cs="Calibri"/>
              </w:rPr>
              <w:t>Section 349 of the ICM Act makes it the duty of an ICT and Media facility or service provider and vendor to take “all reasonable steps to prevent offensive communications being delivered to children and to prevent the possibility of children being drawn into conducting business transactions of any kind”.</w:t>
            </w:r>
          </w:p>
        </w:tc>
      </w:tr>
      <w:tr w:rsidR="00A21390" w:rsidRPr="00680020" w14:paraId="0A518CF9" w14:textId="77777777" w:rsidTr="00A21390">
        <w:trPr>
          <w:trHeight w:val="576"/>
        </w:trPr>
        <w:tc>
          <w:tcPr>
            <w:tcW w:w="425" w:type="dxa"/>
          </w:tcPr>
          <w:p w14:paraId="4ACB0CA5"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6AB0EE5B" w14:textId="77777777" w:rsidR="00A21390" w:rsidRPr="00680020" w:rsidRDefault="00A21390" w:rsidP="00C33EAA">
            <w:pPr>
              <w:rPr>
                <w:rFonts w:cstheme="minorHAnsi"/>
              </w:rPr>
            </w:pPr>
            <w:r>
              <w:rPr>
                <w:rFonts w:ascii="Calibri" w:eastAsia="Calibri" w:hAnsi="Calibri" w:cs="Calibri"/>
              </w:rPr>
              <w:t>Establi</w:t>
            </w:r>
            <w:r w:rsidRPr="00A160C0">
              <w:rPr>
                <w:rFonts w:ascii="Calibri" w:eastAsia="Calibri" w:hAnsi="Calibri" w:cs="Calibri"/>
              </w:rPr>
              <w:t xml:space="preserve">sh legislation requiring for a </w:t>
            </w:r>
            <w:r w:rsidRPr="00A160C0">
              <w:rPr>
                <w:rFonts w:ascii="Calibri" w:eastAsia="Calibri" w:hAnsi="Calibri" w:cs="Calibri"/>
                <w:b/>
              </w:rPr>
              <w:t>criminal background check</w:t>
            </w:r>
            <w:r w:rsidRPr="00A160C0">
              <w:rPr>
                <w:rFonts w:ascii="Calibri" w:eastAsia="Calibri" w:hAnsi="Calibri" w:cs="Calibri"/>
              </w:rPr>
              <w:t xml:space="preserve"> for every person (national or non-national) applying for work with or for children or who is currently working with or for children. Introduce legislation prohibiting convicted sex offenders to hold positions involving or facilitating contact with children.</w:t>
            </w:r>
          </w:p>
        </w:tc>
        <w:tc>
          <w:tcPr>
            <w:tcW w:w="1701" w:type="dxa"/>
          </w:tcPr>
          <w:p w14:paraId="20B4FFCA"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No</w:t>
            </w:r>
          </w:p>
        </w:tc>
        <w:tc>
          <w:tcPr>
            <w:tcW w:w="6520" w:type="dxa"/>
          </w:tcPr>
          <w:p w14:paraId="6A2436A7" w14:textId="3BA4D0F6" w:rsidR="00A21390" w:rsidRPr="00680020" w:rsidRDefault="00B6521F" w:rsidP="00C33EAA">
            <w:pPr>
              <w:rPr>
                <w:rFonts w:cstheme="minorHAnsi"/>
                <w:lang w:val="en-GB"/>
              </w:rPr>
            </w:pPr>
            <w:r>
              <w:rPr>
                <w:rFonts w:ascii="Calibri" w:hAnsi="Calibri" w:cs="Calibri"/>
              </w:rPr>
              <w:t xml:space="preserve">The only partially relevant provision found is </w:t>
            </w:r>
            <w:r w:rsidRPr="0003503B">
              <w:rPr>
                <w:rFonts w:ascii="Calibri" w:hAnsi="Calibri" w:cs="Calibri"/>
              </w:rPr>
              <w:t xml:space="preserve">Rule 53(d)of the Child Care and Protection Rules and Regulations 2015, </w:t>
            </w:r>
            <w:r>
              <w:rPr>
                <w:rFonts w:ascii="Calibri" w:hAnsi="Calibri" w:cs="Calibri"/>
              </w:rPr>
              <w:t xml:space="preserve">according to which </w:t>
            </w:r>
            <w:r w:rsidRPr="0003503B">
              <w:rPr>
                <w:rFonts w:ascii="Calibri" w:hAnsi="Calibri" w:cs="Calibri"/>
              </w:rPr>
              <w:t>a person convicted of any offence under Chapter 14 (offences against children) of the Penal Code is prohibited from holding the post of a Child Welfare Officer.</w:t>
            </w:r>
          </w:p>
        </w:tc>
      </w:tr>
      <w:tr w:rsidR="00A21390" w:rsidRPr="00680020" w14:paraId="33B6D015" w14:textId="77777777" w:rsidTr="00A21390">
        <w:trPr>
          <w:trHeight w:val="576"/>
        </w:trPr>
        <w:tc>
          <w:tcPr>
            <w:tcW w:w="425" w:type="dxa"/>
          </w:tcPr>
          <w:p w14:paraId="7599D9F0"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2A4AAFD8" w14:textId="77777777" w:rsidR="00A21390" w:rsidRPr="00680020" w:rsidRDefault="00A21390" w:rsidP="00C33EAA">
            <w:pPr>
              <w:rPr>
                <w:rFonts w:cstheme="minorHAnsi"/>
                <w:lang w:val="en-GB"/>
              </w:rPr>
            </w:pPr>
            <w:r w:rsidRPr="00A160C0">
              <w:rPr>
                <w:rFonts w:ascii="Calibri" w:eastAsia="Calibri" w:hAnsi="Calibri" w:cs="Calibri"/>
              </w:rPr>
              <w:t xml:space="preserve">Regulate and monitor the use of volunteers (including in </w:t>
            </w:r>
            <w:r w:rsidRPr="003F4A91">
              <w:rPr>
                <w:rFonts w:ascii="Calibri" w:eastAsia="Calibri" w:hAnsi="Calibri" w:cs="Calibri"/>
                <w:b/>
              </w:rPr>
              <w:t>‘voluntourism’</w:t>
            </w:r>
            <w:r w:rsidRPr="00A160C0">
              <w:rPr>
                <w:rFonts w:ascii="Calibri" w:eastAsia="Calibri" w:hAnsi="Calibri" w:cs="Calibri"/>
              </w:rPr>
              <w:t xml:space="preserve">) in settings and activities that involve direct contact with children, particularly prohibiting visits to orphanages/residential care settings in </w:t>
            </w:r>
            <w:proofErr w:type="spellStart"/>
            <w:r w:rsidRPr="00A160C0">
              <w:rPr>
                <w:rFonts w:ascii="Calibri" w:eastAsia="Calibri" w:hAnsi="Calibri" w:cs="Calibri"/>
              </w:rPr>
              <w:t>favour</w:t>
            </w:r>
            <w:proofErr w:type="spellEnd"/>
            <w:r w:rsidRPr="00A160C0">
              <w:rPr>
                <w:rFonts w:ascii="Calibri" w:eastAsia="Calibri" w:hAnsi="Calibri" w:cs="Calibri"/>
              </w:rPr>
              <w:t xml:space="preserve"> of redirecting the industry towards solutions that support community-based care.</w:t>
            </w:r>
          </w:p>
        </w:tc>
        <w:tc>
          <w:tcPr>
            <w:tcW w:w="1701" w:type="dxa"/>
          </w:tcPr>
          <w:p w14:paraId="0E48BB6D"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No </w:t>
            </w:r>
          </w:p>
        </w:tc>
        <w:tc>
          <w:tcPr>
            <w:tcW w:w="6520" w:type="dxa"/>
          </w:tcPr>
          <w:p w14:paraId="174B02CA" w14:textId="77777777" w:rsidR="00A21390" w:rsidRPr="00680020" w:rsidRDefault="00A21390" w:rsidP="00C33EAA">
            <w:pPr>
              <w:rPr>
                <w:rFonts w:cstheme="minorHAnsi"/>
                <w:lang w:val="en-GB"/>
              </w:rPr>
            </w:pPr>
          </w:p>
        </w:tc>
      </w:tr>
      <w:tr w:rsidR="00A21390" w:rsidRPr="00680020" w14:paraId="4A1A0F88" w14:textId="77777777" w:rsidTr="00A21390">
        <w:trPr>
          <w:trHeight w:val="2684"/>
        </w:trPr>
        <w:tc>
          <w:tcPr>
            <w:tcW w:w="425" w:type="dxa"/>
          </w:tcPr>
          <w:p w14:paraId="07598129"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0FBCB8F8" w14:textId="77777777" w:rsidR="00A21390" w:rsidRPr="00680020" w:rsidRDefault="00A21390" w:rsidP="00C33EAA">
            <w:pPr>
              <w:rPr>
                <w:rFonts w:cstheme="minorHAnsi"/>
                <w:lang w:val="en-GB"/>
              </w:rPr>
            </w:pPr>
            <w:r w:rsidRPr="003F4A91">
              <w:rPr>
                <w:rFonts w:ascii="Calibri" w:eastAsia="Calibri" w:hAnsi="Calibri" w:cs="Calibri"/>
              </w:rPr>
              <w:t xml:space="preserve">Ratify and implement relevant </w:t>
            </w:r>
            <w:r w:rsidRPr="003F4A91">
              <w:rPr>
                <w:rFonts w:ascii="Calibri" w:eastAsia="Calibri" w:hAnsi="Calibri" w:cs="Calibri"/>
                <w:b/>
              </w:rPr>
              <w:t xml:space="preserve">regional and international instruments </w:t>
            </w:r>
            <w:r w:rsidRPr="003F4A91">
              <w:rPr>
                <w:rFonts w:ascii="Calibri" w:eastAsia="Calibri" w:hAnsi="Calibri" w:cs="Calibri"/>
              </w:rPr>
              <w:t>related to child’s rights and sexual exploitation of children.</w:t>
            </w:r>
          </w:p>
        </w:tc>
        <w:tc>
          <w:tcPr>
            <w:tcW w:w="1701" w:type="dxa"/>
          </w:tcPr>
          <w:p w14:paraId="5610C8FA" w14:textId="683BD626" w:rsidR="00A21390" w:rsidRPr="00A20A79" w:rsidRDefault="00B6521F" w:rsidP="00C33EAA">
            <w:pPr>
              <w:rPr>
                <w:rFonts w:cstheme="minorHAnsi"/>
                <w:bCs/>
                <w:color w:val="000000" w:themeColor="text1"/>
                <w:lang w:val="en-GB"/>
              </w:rPr>
            </w:pPr>
            <w:r>
              <w:rPr>
                <w:rFonts w:cstheme="minorHAnsi"/>
                <w:bCs/>
                <w:color w:val="000000" w:themeColor="text1"/>
                <w:lang w:val="en-GB"/>
              </w:rPr>
              <w:t>No</w:t>
            </w:r>
          </w:p>
        </w:tc>
        <w:tc>
          <w:tcPr>
            <w:tcW w:w="6520" w:type="dxa"/>
          </w:tcPr>
          <w:p w14:paraId="41079A77" w14:textId="77777777" w:rsidR="00B6521F" w:rsidRPr="0003503B" w:rsidRDefault="00B6521F" w:rsidP="00B6521F">
            <w:pPr>
              <w:pStyle w:val="ListParagraph"/>
              <w:numPr>
                <w:ilvl w:val="0"/>
                <w:numId w:val="1"/>
              </w:numPr>
              <w:ind w:hanging="252"/>
              <w:jc w:val="both"/>
              <w:rPr>
                <w:rFonts w:ascii="Calibri" w:eastAsia="Times New Roman" w:hAnsi="Calibri" w:cs="Calibri"/>
                <w:lang w:val="en-GB"/>
              </w:rPr>
            </w:pPr>
            <w:r w:rsidRPr="0003503B">
              <w:rPr>
                <w:rFonts w:ascii="Calibri" w:eastAsia="Times New Roman" w:hAnsi="Calibri" w:cs="Calibri"/>
                <w:lang w:val="en-GB"/>
              </w:rPr>
              <w:t xml:space="preserve">Convention on the Rights of the Child (CRC) </w:t>
            </w:r>
            <w:r w:rsidRPr="0003503B">
              <w:rPr>
                <w:rFonts w:ascii="Calibri" w:eastAsia="Times New Roman" w:hAnsi="Calibri" w:cs="Calibri"/>
                <w:color w:val="146B42"/>
                <w:lang w:val="en-GB"/>
              </w:rPr>
              <w:t>Ratified in</w:t>
            </w:r>
            <w:r>
              <w:rPr>
                <w:rFonts w:ascii="Calibri" w:eastAsia="Times New Roman" w:hAnsi="Calibri" w:cs="Calibri"/>
                <w:color w:val="146B42"/>
                <w:lang w:val="en-GB"/>
              </w:rPr>
              <w:t xml:space="preserve"> 1990.</w:t>
            </w:r>
          </w:p>
          <w:p w14:paraId="5BBDA6D6" w14:textId="77777777" w:rsidR="00B6521F" w:rsidRPr="0003503B" w:rsidRDefault="00B6521F" w:rsidP="00B6521F">
            <w:pPr>
              <w:pStyle w:val="ListParagraph"/>
              <w:numPr>
                <w:ilvl w:val="0"/>
                <w:numId w:val="1"/>
              </w:numPr>
              <w:ind w:hanging="252"/>
              <w:jc w:val="both"/>
              <w:rPr>
                <w:rFonts w:ascii="Calibri" w:eastAsia="Times New Roman" w:hAnsi="Calibri" w:cs="Calibri"/>
                <w:lang w:val="en-GB"/>
              </w:rPr>
            </w:pPr>
            <w:r w:rsidRPr="0003503B">
              <w:rPr>
                <w:rFonts w:ascii="Calibri" w:eastAsia="Times New Roman" w:hAnsi="Calibri" w:cs="Calibri"/>
                <w:lang w:val="en-GB"/>
              </w:rPr>
              <w:t xml:space="preserve">Optional Protocol to the CRC on the Sale of Children, Child Prostitution and Child Pornography </w:t>
            </w:r>
            <w:r w:rsidRPr="0003503B">
              <w:rPr>
                <w:rFonts w:ascii="Calibri" w:eastAsia="Times New Roman" w:hAnsi="Calibri" w:cs="Calibri"/>
                <w:color w:val="146B42"/>
                <w:lang w:val="en-GB"/>
              </w:rPr>
              <w:t>Ratified in</w:t>
            </w:r>
            <w:r>
              <w:rPr>
                <w:rFonts w:ascii="Calibri" w:eastAsia="Times New Roman" w:hAnsi="Calibri" w:cs="Calibri"/>
                <w:color w:val="146B42"/>
                <w:lang w:val="en-GB"/>
              </w:rPr>
              <w:t xml:space="preserve"> 2009</w:t>
            </w:r>
          </w:p>
          <w:p w14:paraId="15B65741" w14:textId="77777777" w:rsidR="00B6521F" w:rsidRPr="0003503B" w:rsidRDefault="00B6521F" w:rsidP="00B6521F">
            <w:pPr>
              <w:pStyle w:val="ListParagraph"/>
              <w:numPr>
                <w:ilvl w:val="0"/>
                <w:numId w:val="1"/>
              </w:numPr>
              <w:ind w:hanging="252"/>
              <w:jc w:val="both"/>
              <w:rPr>
                <w:rFonts w:ascii="Calibri" w:eastAsia="Times New Roman" w:hAnsi="Calibri" w:cs="Calibri"/>
                <w:lang w:val="en-GB"/>
              </w:rPr>
            </w:pPr>
            <w:r w:rsidRPr="0003503B">
              <w:rPr>
                <w:rFonts w:ascii="Calibri" w:eastAsia="Times New Roman" w:hAnsi="Calibri" w:cs="Calibri"/>
                <w:lang w:val="en-GB"/>
              </w:rPr>
              <w:t xml:space="preserve">Optional Protocol to the CRC on a Communications Procedure (OP3 CRC) </w:t>
            </w:r>
            <w:r w:rsidRPr="0003503B">
              <w:rPr>
                <w:rFonts w:ascii="Calibri" w:eastAsia="Times New Roman" w:hAnsi="Calibri" w:cs="Calibri"/>
                <w:color w:val="FF0000"/>
                <w:lang w:val="en-GB"/>
              </w:rPr>
              <w:t>Not signed</w:t>
            </w:r>
          </w:p>
          <w:p w14:paraId="0F3E2797" w14:textId="77777777" w:rsidR="00B6521F" w:rsidRPr="0003503B" w:rsidRDefault="00B6521F" w:rsidP="00B6521F">
            <w:pPr>
              <w:pStyle w:val="ListParagraph"/>
              <w:numPr>
                <w:ilvl w:val="0"/>
                <w:numId w:val="1"/>
              </w:numPr>
              <w:ind w:hanging="252"/>
              <w:jc w:val="both"/>
              <w:rPr>
                <w:rFonts w:ascii="Calibri" w:eastAsia="Times New Roman" w:hAnsi="Calibri" w:cs="Calibri"/>
                <w:lang w:val="en-GB"/>
              </w:rPr>
            </w:pPr>
            <w:r w:rsidRPr="0003503B">
              <w:rPr>
                <w:rFonts w:ascii="Calibri" w:eastAsia="Times New Roman" w:hAnsi="Calibri" w:cs="Calibri"/>
                <w:lang w:val="en-GB"/>
              </w:rPr>
              <w:t xml:space="preserve">Protocol to Prevent, Suppress and Punish Trafficking in Persons, especially Women and Children </w:t>
            </w:r>
            <w:r w:rsidRPr="0003503B">
              <w:rPr>
                <w:rFonts w:ascii="Calibri" w:eastAsia="Times New Roman" w:hAnsi="Calibri" w:cs="Calibri"/>
                <w:color w:val="FF0000"/>
                <w:lang w:val="en-GB"/>
              </w:rPr>
              <w:t>Not signed</w:t>
            </w:r>
          </w:p>
          <w:p w14:paraId="5E819090" w14:textId="77777777" w:rsidR="00B6521F" w:rsidRPr="0003503B" w:rsidRDefault="00B6521F" w:rsidP="00B6521F">
            <w:pPr>
              <w:pStyle w:val="ListParagraph"/>
              <w:numPr>
                <w:ilvl w:val="0"/>
                <w:numId w:val="1"/>
              </w:numPr>
              <w:ind w:hanging="252"/>
              <w:jc w:val="both"/>
              <w:rPr>
                <w:rFonts w:ascii="Calibri" w:eastAsia="Times New Roman" w:hAnsi="Calibri" w:cs="Calibri"/>
                <w:lang w:val="en-GB"/>
              </w:rPr>
            </w:pPr>
            <w:r w:rsidRPr="0003503B">
              <w:rPr>
                <w:rFonts w:ascii="Calibri" w:eastAsia="Times New Roman" w:hAnsi="Calibri" w:cs="Calibri"/>
                <w:lang w:val="en-GB"/>
              </w:rPr>
              <w:t>ILO Convention concerning the Prohibition and Immediate Action for the Elimination of the Worst Forms of Child Labour No.182</w:t>
            </w:r>
            <w:r>
              <w:rPr>
                <w:rFonts w:ascii="Calibri" w:eastAsia="Times New Roman" w:hAnsi="Calibri" w:cs="Calibri"/>
                <w:lang w:val="en-GB"/>
              </w:rPr>
              <w:t xml:space="preserve"> </w:t>
            </w:r>
            <w:r w:rsidRPr="0003503B">
              <w:rPr>
                <w:rFonts w:ascii="Calibri" w:eastAsia="Times New Roman" w:hAnsi="Calibri" w:cs="Calibri"/>
                <w:color w:val="FF0000"/>
                <w:lang w:val="en-GB"/>
              </w:rPr>
              <w:t>Not signed</w:t>
            </w:r>
          </w:p>
          <w:p w14:paraId="2B93D3CF" w14:textId="77777777" w:rsidR="00B6521F" w:rsidRPr="0003503B" w:rsidRDefault="00B6521F" w:rsidP="00B6521F">
            <w:pPr>
              <w:pStyle w:val="ListParagraph"/>
              <w:numPr>
                <w:ilvl w:val="0"/>
                <w:numId w:val="1"/>
              </w:numPr>
              <w:ind w:hanging="252"/>
              <w:jc w:val="both"/>
              <w:rPr>
                <w:rFonts w:ascii="Calibri" w:eastAsia="Times New Roman" w:hAnsi="Calibri" w:cs="Calibri"/>
                <w:lang w:val="en-GB"/>
              </w:rPr>
            </w:pPr>
            <w:r w:rsidRPr="0003503B">
              <w:rPr>
                <w:rFonts w:ascii="Calibri" w:hAnsi="Calibri" w:cs="Calibri"/>
              </w:rPr>
              <w:lastRenderedPageBreak/>
              <w:t xml:space="preserve">SAARC Convention on Preventing and Combating Trafficking in Women and Children </w:t>
            </w:r>
            <w:r w:rsidRPr="0003503B">
              <w:rPr>
                <w:rFonts w:ascii="Calibri" w:eastAsia="Times New Roman" w:hAnsi="Calibri" w:cs="Calibri"/>
                <w:color w:val="146B42"/>
                <w:lang w:val="en-GB"/>
              </w:rPr>
              <w:t>Ratified in</w:t>
            </w:r>
            <w:r>
              <w:rPr>
                <w:rFonts w:ascii="Calibri" w:eastAsia="Times New Roman" w:hAnsi="Calibri" w:cs="Calibri"/>
                <w:color w:val="146B42"/>
                <w:lang w:val="en-GB"/>
              </w:rPr>
              <w:t xml:space="preserve"> 2002</w:t>
            </w:r>
          </w:p>
          <w:p w14:paraId="61316A77" w14:textId="77777777" w:rsidR="00B6521F" w:rsidRPr="0003503B" w:rsidRDefault="00B6521F" w:rsidP="00B6521F">
            <w:pPr>
              <w:pStyle w:val="ListParagraph"/>
              <w:numPr>
                <w:ilvl w:val="0"/>
                <w:numId w:val="1"/>
              </w:numPr>
              <w:ind w:hanging="252"/>
              <w:jc w:val="both"/>
              <w:rPr>
                <w:rFonts w:ascii="Calibri" w:eastAsia="Times New Roman" w:hAnsi="Calibri" w:cs="Calibri"/>
                <w:lang w:val="en-GB"/>
              </w:rPr>
            </w:pPr>
            <w:r w:rsidRPr="0003503B">
              <w:rPr>
                <w:rFonts w:ascii="Calibri" w:hAnsi="Calibri" w:cs="Calibri"/>
              </w:rPr>
              <w:t xml:space="preserve">SAARC Convention on Regional Arrangements for the Promotion of Child Welfare in South Asia </w:t>
            </w:r>
            <w:r w:rsidRPr="0003503B">
              <w:rPr>
                <w:rFonts w:ascii="Calibri" w:eastAsia="Times New Roman" w:hAnsi="Calibri" w:cs="Calibri"/>
                <w:color w:val="146B42"/>
                <w:lang w:val="en-GB"/>
              </w:rPr>
              <w:t>Ratified in</w:t>
            </w:r>
            <w:r>
              <w:rPr>
                <w:rFonts w:ascii="Calibri" w:eastAsia="Times New Roman" w:hAnsi="Calibri" w:cs="Calibri"/>
                <w:color w:val="146B42"/>
                <w:lang w:val="en-GB"/>
              </w:rPr>
              <w:t xml:space="preserve"> 2002</w:t>
            </w:r>
          </w:p>
          <w:p w14:paraId="621B3DAD" w14:textId="3FCE2EE6" w:rsidR="00A21390" w:rsidRPr="00F93302" w:rsidRDefault="00B6521F" w:rsidP="00B6521F">
            <w:pPr>
              <w:widowControl w:val="0"/>
              <w:ind w:left="360"/>
              <w:rPr>
                <w:rFonts w:ascii="Calibri" w:eastAsia="Calibri" w:hAnsi="Calibri" w:cs="Calibri"/>
              </w:rPr>
            </w:pPr>
            <w:r w:rsidRPr="0003503B">
              <w:rPr>
                <w:rFonts w:ascii="Calibri" w:eastAsia="Times New Roman" w:hAnsi="Calibri" w:cs="Calibri"/>
                <w:lang w:val="en-GB"/>
              </w:rPr>
              <w:t xml:space="preserve">UNWTO Convention on Tourism Ethics </w:t>
            </w:r>
            <w:r w:rsidRPr="0003503B">
              <w:rPr>
                <w:rFonts w:ascii="Calibri" w:eastAsia="Times New Roman" w:hAnsi="Calibri" w:cs="Calibri"/>
                <w:color w:val="FF0000"/>
                <w:lang w:val="en-GB"/>
              </w:rPr>
              <w:t>Not signed</w:t>
            </w:r>
          </w:p>
        </w:tc>
      </w:tr>
      <w:tr w:rsidR="00A21390" w:rsidRPr="00680020" w14:paraId="7C23846E" w14:textId="77777777" w:rsidTr="00A21390">
        <w:trPr>
          <w:trHeight w:val="1280"/>
        </w:trPr>
        <w:tc>
          <w:tcPr>
            <w:tcW w:w="425" w:type="dxa"/>
          </w:tcPr>
          <w:p w14:paraId="64D2ADA5"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015C7999" w14:textId="77777777" w:rsidR="00A21390" w:rsidRPr="00680020" w:rsidRDefault="00A21390" w:rsidP="00C33EAA">
            <w:pPr>
              <w:rPr>
                <w:rFonts w:cstheme="minorHAnsi"/>
                <w:lang w:val="en-GB"/>
              </w:rPr>
            </w:pPr>
            <w:r w:rsidRPr="003F4A91">
              <w:rPr>
                <w:rFonts w:ascii="Calibri" w:eastAsia="Calibri" w:hAnsi="Calibri" w:cs="Calibri"/>
              </w:rPr>
              <w:t xml:space="preserve">Establish </w:t>
            </w:r>
            <w:r w:rsidRPr="003F4A91">
              <w:rPr>
                <w:rFonts w:ascii="Calibri" w:eastAsia="Calibri" w:hAnsi="Calibri" w:cs="Calibri"/>
                <w:b/>
              </w:rPr>
              <w:t>protection measures</w:t>
            </w:r>
            <w:r w:rsidRPr="003F4A91">
              <w:rPr>
                <w:rFonts w:ascii="Calibri" w:eastAsia="Calibri" w:hAnsi="Calibri" w:cs="Calibri"/>
              </w:rPr>
              <w:t xml:space="preserve"> for child victims at any stage of the legal process against the suspected offender.</w:t>
            </w:r>
          </w:p>
        </w:tc>
        <w:tc>
          <w:tcPr>
            <w:tcW w:w="1701" w:type="dxa"/>
          </w:tcPr>
          <w:p w14:paraId="53B19036"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Yes</w:t>
            </w:r>
          </w:p>
        </w:tc>
        <w:tc>
          <w:tcPr>
            <w:tcW w:w="6520" w:type="dxa"/>
          </w:tcPr>
          <w:p w14:paraId="593937C6" w14:textId="77777777" w:rsidR="00B6521F" w:rsidRPr="0003503B" w:rsidRDefault="00B6521F" w:rsidP="00B6521F">
            <w:pPr>
              <w:jc w:val="both"/>
              <w:rPr>
                <w:rFonts w:ascii="Calibri" w:hAnsi="Calibri" w:cs="Calibri"/>
              </w:rPr>
            </w:pPr>
            <w:r w:rsidRPr="0003503B">
              <w:rPr>
                <w:rFonts w:ascii="Calibri" w:hAnsi="Calibri" w:cs="Calibri"/>
              </w:rPr>
              <w:t xml:space="preserve">The CCPA requires having WCPU </w:t>
            </w:r>
            <w:r>
              <w:rPr>
                <w:rFonts w:ascii="Calibri" w:hAnsi="Calibri" w:cs="Calibri"/>
              </w:rPr>
              <w:t xml:space="preserve">(Women and Child Protection Units) </w:t>
            </w:r>
            <w:r w:rsidRPr="0003503B">
              <w:rPr>
                <w:rFonts w:ascii="Calibri" w:hAnsi="Calibri" w:cs="Calibri"/>
              </w:rPr>
              <w:t>or WCPDs (Women and Child Protection Desks)</w:t>
            </w:r>
            <w:r>
              <w:rPr>
                <w:rFonts w:ascii="Calibri" w:hAnsi="Calibri" w:cs="Calibri"/>
              </w:rPr>
              <w:t xml:space="preserve"> </w:t>
            </w:r>
            <w:r w:rsidRPr="0003503B">
              <w:rPr>
                <w:rFonts w:ascii="Calibri" w:hAnsi="Calibri" w:cs="Calibri"/>
              </w:rPr>
              <w:t xml:space="preserve">at every police station </w:t>
            </w:r>
          </w:p>
          <w:p w14:paraId="031D7D2D" w14:textId="77777777" w:rsidR="00B6521F" w:rsidRPr="0003503B" w:rsidRDefault="00B6521F" w:rsidP="00B6521F">
            <w:pPr>
              <w:jc w:val="both"/>
              <w:rPr>
                <w:rFonts w:ascii="Calibri" w:hAnsi="Calibri" w:cs="Calibri"/>
              </w:rPr>
            </w:pPr>
            <w:r w:rsidRPr="0003503B">
              <w:rPr>
                <w:rFonts w:ascii="Calibri" w:hAnsi="Calibri" w:cs="Calibri"/>
              </w:rPr>
              <w:t>Section 65 of the CCPA requires the police to ensure care and safety of the child in difficult circumstances till the child is transferred to a child welfare officer. The police shall deal with the child with sympathy and understanding in a decent and polite manner.</w:t>
            </w:r>
          </w:p>
          <w:p w14:paraId="1D57DD73" w14:textId="77777777" w:rsidR="00B6521F" w:rsidRPr="0003503B" w:rsidRDefault="00B6521F" w:rsidP="00B6521F">
            <w:pPr>
              <w:jc w:val="both"/>
              <w:rPr>
                <w:rFonts w:ascii="Calibri" w:hAnsi="Calibri" w:cs="Calibri"/>
              </w:rPr>
            </w:pPr>
            <w:r w:rsidRPr="0003503B">
              <w:rPr>
                <w:rFonts w:ascii="Calibri" w:hAnsi="Calibri" w:cs="Calibri"/>
              </w:rPr>
              <w:t xml:space="preserve">Further, Rule 39(f) of the CCPRR </w:t>
            </w:r>
            <w:proofErr w:type="spellStart"/>
            <w:r w:rsidRPr="0003503B">
              <w:rPr>
                <w:rFonts w:ascii="Calibri" w:hAnsi="Calibri" w:cs="Calibri"/>
              </w:rPr>
              <w:t>authorises</w:t>
            </w:r>
            <w:proofErr w:type="spellEnd"/>
            <w:r w:rsidRPr="0003503B">
              <w:rPr>
                <w:rFonts w:ascii="Calibri" w:hAnsi="Calibri" w:cs="Calibri"/>
              </w:rPr>
              <w:t xml:space="preserve"> the Judge presiding over a matter involving a child in difficult circumstances (including sexual exploitation victims) to issue an order to provide protection for as long as necessary if the safety of the child is at risk. </w:t>
            </w:r>
          </w:p>
          <w:p w14:paraId="4ED73DCD" w14:textId="77777777" w:rsidR="00B6521F" w:rsidRDefault="00B6521F" w:rsidP="00B6521F">
            <w:pPr>
              <w:jc w:val="both"/>
              <w:rPr>
                <w:rFonts w:ascii="Calibri" w:hAnsi="Calibri" w:cs="Calibri"/>
              </w:rPr>
            </w:pPr>
            <w:r w:rsidRPr="0003503B">
              <w:rPr>
                <w:rFonts w:ascii="Calibri" w:hAnsi="Calibri" w:cs="Calibri"/>
              </w:rPr>
              <w:t xml:space="preserve">Further, under Rule 49(a), it is the duty of the Judge to ensure that the child is provided with privacy and does not at any point of the trial face the defendant directly. </w:t>
            </w:r>
          </w:p>
          <w:p w14:paraId="18B53E4B" w14:textId="326AB4B8" w:rsidR="00A21390" w:rsidRPr="00680020" w:rsidRDefault="00B6521F" w:rsidP="00B6521F">
            <w:pPr>
              <w:rPr>
                <w:rFonts w:cstheme="minorHAnsi"/>
                <w:lang w:val="en-GB"/>
              </w:rPr>
            </w:pPr>
            <w:r w:rsidRPr="00DA5883">
              <w:rPr>
                <w:rFonts w:ascii="Calibri" w:hAnsi="Calibri" w:cs="Calibri"/>
              </w:rPr>
              <w:t>Rule 212 of CCPRR states: “Where the child’s safety is at risk, appropriate measure shall be taken to provide the child with special protection during and on completion of the judicial proceedings”. According to Rule 213, the measures include: “a. restraining orders or any other order to protect the child; b. minimal or no contact with the perpetrator during proceedings; c. law enforcement and judicial officials trained in child protection; d. pre-trial detention for the perpetrator; e. provision of appropriate alternative care for the child if the child has been removed from the home environment; and f. any other measure that the Court may deem necessary for the protection of the child.”</w:t>
            </w:r>
          </w:p>
        </w:tc>
      </w:tr>
      <w:tr w:rsidR="00A21390" w:rsidRPr="00680020" w14:paraId="115EA3C7" w14:textId="77777777" w:rsidTr="00A21390">
        <w:trPr>
          <w:trHeight w:val="557"/>
        </w:trPr>
        <w:tc>
          <w:tcPr>
            <w:tcW w:w="425" w:type="dxa"/>
          </w:tcPr>
          <w:p w14:paraId="799C7136"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01B00B33" w14:textId="77777777" w:rsidR="00A21390" w:rsidRPr="003F4A91" w:rsidRDefault="00A21390" w:rsidP="00C33EAA">
            <w:pPr>
              <w:spacing w:after="160" w:line="259" w:lineRule="auto"/>
              <w:jc w:val="both"/>
              <w:rPr>
                <w:rFonts w:asciiTheme="majorHAnsi" w:hAnsiTheme="majorHAnsi" w:cstheme="majorHAnsi"/>
              </w:rPr>
            </w:pPr>
            <w:r>
              <w:rPr>
                <w:rFonts w:asciiTheme="majorHAnsi" w:hAnsiTheme="majorHAnsi" w:cstheme="majorHAnsi"/>
              </w:rPr>
              <w:t xml:space="preserve">Establish </w:t>
            </w:r>
            <w:r w:rsidRPr="003F4A91">
              <w:rPr>
                <w:rFonts w:asciiTheme="majorHAnsi" w:hAnsiTheme="majorHAnsi" w:cstheme="majorHAnsi"/>
                <w:b/>
                <w:bCs/>
              </w:rPr>
              <w:t xml:space="preserve">child-friendly interviewing practices by professionally trained police. </w:t>
            </w:r>
          </w:p>
          <w:p w14:paraId="59AA4A44" w14:textId="77777777" w:rsidR="00A21390" w:rsidRPr="00210380" w:rsidRDefault="00A21390" w:rsidP="00C33EAA">
            <w:pPr>
              <w:rPr>
                <w:rFonts w:cstheme="minorHAnsi"/>
              </w:rPr>
            </w:pPr>
          </w:p>
        </w:tc>
        <w:tc>
          <w:tcPr>
            <w:tcW w:w="1701" w:type="dxa"/>
          </w:tcPr>
          <w:p w14:paraId="74EFE905"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Partially</w:t>
            </w:r>
          </w:p>
        </w:tc>
        <w:tc>
          <w:tcPr>
            <w:tcW w:w="6520" w:type="dxa"/>
          </w:tcPr>
          <w:p w14:paraId="49911024" w14:textId="77777777" w:rsidR="00B6521F" w:rsidRPr="0003503B" w:rsidRDefault="00B6521F" w:rsidP="00B6521F">
            <w:pPr>
              <w:jc w:val="both"/>
              <w:rPr>
                <w:rFonts w:ascii="Calibri" w:hAnsi="Calibri" w:cs="Calibri"/>
              </w:rPr>
            </w:pPr>
            <w:r w:rsidRPr="0003503B">
              <w:rPr>
                <w:rFonts w:ascii="Calibri" w:hAnsi="Calibri" w:cs="Calibri"/>
              </w:rPr>
              <w:t xml:space="preserve">Sections 38-39 of the CCPA require the establishment of a Child Justice Court to be presided over by a judge who has knowledge of child psychology and child welfare. </w:t>
            </w:r>
          </w:p>
          <w:p w14:paraId="5D24FE35" w14:textId="77777777" w:rsidR="00B6521F" w:rsidRPr="0003503B" w:rsidRDefault="00B6521F" w:rsidP="00B6521F">
            <w:pPr>
              <w:jc w:val="both"/>
              <w:rPr>
                <w:rFonts w:ascii="Calibri" w:hAnsi="Calibri" w:cs="Calibri"/>
              </w:rPr>
            </w:pPr>
            <w:r w:rsidRPr="0003503B">
              <w:rPr>
                <w:rFonts w:ascii="Calibri" w:hAnsi="Calibri" w:cs="Calibri"/>
              </w:rPr>
              <w:t xml:space="preserve">Rules 34-35 of the CCPRR provides that all proceedings conducted by the Court in matters relating to children shall be in-camera with limited presence. </w:t>
            </w:r>
          </w:p>
          <w:p w14:paraId="6F391BE1" w14:textId="77777777" w:rsidR="00B6521F" w:rsidRDefault="00B6521F" w:rsidP="00B6521F">
            <w:pPr>
              <w:jc w:val="both"/>
              <w:rPr>
                <w:rFonts w:ascii="Calibri" w:hAnsi="Calibri" w:cs="Calibri"/>
              </w:rPr>
            </w:pPr>
            <w:r w:rsidRPr="0003503B">
              <w:rPr>
                <w:rFonts w:ascii="Calibri" w:hAnsi="Calibri" w:cs="Calibri"/>
              </w:rPr>
              <w:t>Rule 41 exclusively deals with child friendly mechanism including providing the child victim with information in a child friendly manner</w:t>
            </w:r>
            <w:r>
              <w:rPr>
                <w:rFonts w:ascii="Calibri" w:hAnsi="Calibri" w:cs="Calibri"/>
              </w:rPr>
              <w:t xml:space="preserve">. </w:t>
            </w:r>
            <w:r w:rsidRPr="0003503B">
              <w:rPr>
                <w:rFonts w:ascii="Calibri" w:hAnsi="Calibri" w:cs="Calibri"/>
              </w:rPr>
              <w:t xml:space="preserve"> </w:t>
            </w:r>
          </w:p>
          <w:p w14:paraId="7CEF84C4" w14:textId="77777777" w:rsidR="00B6521F" w:rsidRPr="0003503B" w:rsidRDefault="00B6521F" w:rsidP="00B6521F">
            <w:pPr>
              <w:jc w:val="both"/>
              <w:rPr>
                <w:rFonts w:ascii="Calibri" w:hAnsi="Calibri" w:cs="Calibri"/>
              </w:rPr>
            </w:pPr>
            <w:r>
              <w:rPr>
                <w:rFonts w:ascii="Calibri" w:hAnsi="Calibri" w:cs="Calibri"/>
              </w:rPr>
              <w:t xml:space="preserve">Chapter 11 of CCPRR exclusively deals with child victims and witnesses. All child victims and witnesses are treated as children in difficult circumstances They are to be treated with dignity throughout the proceedings. Their best interests must be taken into consideration, </w:t>
            </w:r>
            <w:proofErr w:type="gramStart"/>
            <w:r>
              <w:rPr>
                <w:rFonts w:ascii="Calibri" w:hAnsi="Calibri" w:cs="Calibri"/>
              </w:rPr>
              <w:t>with regard to</w:t>
            </w:r>
            <w:proofErr w:type="gramEnd"/>
            <w:r>
              <w:rPr>
                <w:rFonts w:ascii="Calibri" w:hAnsi="Calibri" w:cs="Calibri"/>
              </w:rPr>
              <w:t xml:space="preserve"> their special needs, right to privacy, right to information, provision of support services, etc. </w:t>
            </w:r>
          </w:p>
          <w:p w14:paraId="18C9D0DE" w14:textId="01FE7C23" w:rsidR="00A21390" w:rsidRPr="00B6521F" w:rsidRDefault="00B6521F" w:rsidP="00C33EAA">
            <w:pPr>
              <w:rPr>
                <w:rFonts w:cstheme="minorHAnsi"/>
              </w:rPr>
            </w:pPr>
            <w:r>
              <w:rPr>
                <w:rFonts w:cstheme="minorHAnsi"/>
              </w:rPr>
              <w:t xml:space="preserve">A Child Advocacy Centre does not exist in the country. </w:t>
            </w:r>
          </w:p>
        </w:tc>
      </w:tr>
      <w:tr w:rsidR="00A21390" w:rsidRPr="00680020" w14:paraId="3E1CDB0C" w14:textId="77777777" w:rsidTr="00A21390">
        <w:trPr>
          <w:trHeight w:val="557"/>
        </w:trPr>
        <w:tc>
          <w:tcPr>
            <w:tcW w:w="425" w:type="dxa"/>
          </w:tcPr>
          <w:p w14:paraId="76BDB593"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66EBAFA7" w14:textId="77777777" w:rsidR="00A21390" w:rsidRPr="00680020" w:rsidRDefault="00A21390" w:rsidP="00C33EAA">
            <w:pPr>
              <w:rPr>
                <w:rFonts w:cstheme="minorHAnsi"/>
              </w:rPr>
            </w:pPr>
            <w:r w:rsidRPr="003F4A91">
              <w:rPr>
                <w:rFonts w:ascii="Calibri" w:eastAsia="Calibri" w:hAnsi="Calibri" w:cs="Calibri"/>
              </w:rPr>
              <w:t xml:space="preserve">Ensure that national legislation provides the </w:t>
            </w:r>
            <w:r w:rsidRPr="003F4A91">
              <w:rPr>
                <w:rFonts w:ascii="Calibri" w:eastAsia="Calibri" w:hAnsi="Calibri" w:cs="Calibri"/>
                <w:b/>
              </w:rPr>
              <w:t>right for child victims to receive support in their recovery and rehabilitation</w:t>
            </w:r>
            <w:r w:rsidRPr="003F4A91">
              <w:rPr>
                <w:rFonts w:ascii="Calibri" w:eastAsia="Calibri" w:hAnsi="Calibri" w:cs="Calibri"/>
              </w:rPr>
              <w:t>, including accessing re-integration services.</w:t>
            </w:r>
          </w:p>
        </w:tc>
        <w:tc>
          <w:tcPr>
            <w:tcW w:w="1701" w:type="dxa"/>
          </w:tcPr>
          <w:p w14:paraId="7ABE7F31"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Yes</w:t>
            </w:r>
          </w:p>
        </w:tc>
        <w:tc>
          <w:tcPr>
            <w:tcW w:w="6520" w:type="dxa"/>
          </w:tcPr>
          <w:p w14:paraId="34B3D012" w14:textId="77777777" w:rsidR="00B6521F" w:rsidRDefault="00B6521F" w:rsidP="00B6521F">
            <w:pPr>
              <w:jc w:val="both"/>
              <w:rPr>
                <w:rFonts w:ascii="Calibri" w:hAnsi="Calibri" w:cs="Calibri"/>
              </w:rPr>
            </w:pPr>
            <w:r w:rsidRPr="009424D3">
              <w:rPr>
                <w:rFonts w:ascii="Calibri" w:hAnsi="Calibri" w:cs="Calibri"/>
              </w:rPr>
              <w:t>Pursuant to Rule 214 of CCPRR, a child victim or witness shall have a right to reparation for full redressal, recovery</w:t>
            </w:r>
            <w:r>
              <w:rPr>
                <w:rFonts w:ascii="Calibri" w:hAnsi="Calibri" w:cs="Calibri"/>
              </w:rPr>
              <w:t>,</w:t>
            </w:r>
            <w:r w:rsidRPr="009424D3">
              <w:rPr>
                <w:rFonts w:ascii="Calibri" w:hAnsi="Calibri" w:cs="Calibri"/>
              </w:rPr>
              <w:t xml:space="preserve"> and reintegration.  special preventive measures must be put in place to protect the child from re-</w:t>
            </w:r>
            <w:proofErr w:type="spellStart"/>
            <w:r w:rsidRPr="009424D3">
              <w:rPr>
                <w:rFonts w:ascii="Calibri" w:hAnsi="Calibri" w:cs="Calibri"/>
              </w:rPr>
              <w:t>victimisation</w:t>
            </w:r>
            <w:proofErr w:type="spellEnd"/>
            <w:r w:rsidRPr="009424D3">
              <w:rPr>
                <w:rFonts w:ascii="Calibri" w:hAnsi="Calibri" w:cs="Calibri"/>
              </w:rPr>
              <w:t>.</w:t>
            </w:r>
            <w:r>
              <w:rPr>
                <w:rFonts w:ascii="Calibri" w:hAnsi="Calibri" w:cs="Calibri"/>
              </w:rPr>
              <w:t xml:space="preserve"> (Rule 215)</w:t>
            </w:r>
            <w:r w:rsidRPr="009424D3">
              <w:rPr>
                <w:rFonts w:ascii="Calibri" w:hAnsi="Calibri" w:cs="Calibri"/>
              </w:rPr>
              <w:t xml:space="preserve"> These measure</w:t>
            </w:r>
            <w:r>
              <w:rPr>
                <w:rFonts w:ascii="Calibri" w:hAnsi="Calibri" w:cs="Calibri"/>
              </w:rPr>
              <w:t>s</w:t>
            </w:r>
            <w:r w:rsidRPr="009424D3">
              <w:rPr>
                <w:rFonts w:ascii="Calibri" w:hAnsi="Calibri" w:cs="Calibri"/>
              </w:rPr>
              <w:t xml:space="preserve"> shall take into consideration, the nature and place of occurrence including abuse at home or in an institution, sexual exploitation</w:t>
            </w:r>
            <w:r>
              <w:rPr>
                <w:rFonts w:ascii="Calibri" w:hAnsi="Calibri" w:cs="Calibri"/>
              </w:rPr>
              <w:t>,</w:t>
            </w:r>
            <w:r w:rsidRPr="009424D3">
              <w:rPr>
                <w:rFonts w:ascii="Calibri" w:hAnsi="Calibri" w:cs="Calibri"/>
              </w:rPr>
              <w:t xml:space="preserve"> and trafficking.</w:t>
            </w:r>
            <w:r>
              <w:rPr>
                <w:rFonts w:ascii="Calibri" w:hAnsi="Calibri" w:cs="Calibri"/>
              </w:rPr>
              <w:t xml:space="preserve"> (Rule 216) </w:t>
            </w:r>
          </w:p>
          <w:p w14:paraId="54CFAC96" w14:textId="7142236B" w:rsidR="00A21390" w:rsidRPr="00680020" w:rsidRDefault="00B6521F" w:rsidP="00B6521F">
            <w:pPr>
              <w:rPr>
                <w:rFonts w:cstheme="minorHAnsi"/>
                <w:lang w:val="en-GB"/>
              </w:rPr>
            </w:pPr>
            <w:r>
              <w:rPr>
                <w:rFonts w:ascii="Calibri" w:hAnsi="Calibri" w:cs="Calibri"/>
              </w:rPr>
              <w:t>Rule 217 further elaborates on these measures.</w:t>
            </w:r>
          </w:p>
        </w:tc>
      </w:tr>
      <w:tr w:rsidR="00A21390" w:rsidRPr="00680020" w14:paraId="0B5C2495" w14:textId="77777777" w:rsidTr="00A21390">
        <w:trPr>
          <w:trHeight w:val="557"/>
        </w:trPr>
        <w:tc>
          <w:tcPr>
            <w:tcW w:w="425" w:type="dxa"/>
          </w:tcPr>
          <w:p w14:paraId="740C2C0E"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120306FB" w14:textId="77777777" w:rsidR="00A21390" w:rsidRPr="00680020" w:rsidRDefault="00A21390" w:rsidP="00C33EAA">
            <w:pPr>
              <w:tabs>
                <w:tab w:val="left" w:pos="1470"/>
              </w:tabs>
              <w:rPr>
                <w:rFonts w:cstheme="minorHAnsi"/>
              </w:rPr>
            </w:pPr>
            <w:r>
              <w:rPr>
                <w:rFonts w:ascii="Calibri" w:eastAsia="Calibri" w:hAnsi="Calibri" w:cs="Calibri"/>
              </w:rPr>
              <w:t>Establi</w:t>
            </w:r>
            <w:r w:rsidRPr="003F4A91">
              <w:rPr>
                <w:rFonts w:ascii="Calibri" w:eastAsia="Calibri" w:hAnsi="Calibri" w:cs="Calibri"/>
              </w:rPr>
              <w:t xml:space="preserve">sh a </w:t>
            </w:r>
            <w:r w:rsidRPr="003F4A91">
              <w:rPr>
                <w:rFonts w:ascii="Calibri" w:eastAsia="Calibri" w:hAnsi="Calibri" w:cs="Calibri"/>
                <w:b/>
              </w:rPr>
              <w:t>national reporting mechanism (</w:t>
            </w:r>
            <w:proofErr w:type="gramStart"/>
            <w:r w:rsidRPr="003F4A91">
              <w:rPr>
                <w:rFonts w:ascii="Calibri" w:eastAsia="Calibri" w:hAnsi="Calibri" w:cs="Calibri"/>
                <w:b/>
              </w:rPr>
              <w:t>e.g.</w:t>
            </w:r>
            <w:proofErr w:type="gramEnd"/>
            <w:r w:rsidRPr="003F4A91">
              <w:rPr>
                <w:rFonts w:ascii="Calibri" w:eastAsia="Calibri" w:hAnsi="Calibri" w:cs="Calibri"/>
                <w:b/>
              </w:rPr>
              <w:t xml:space="preserve"> hotline)</w:t>
            </w:r>
            <w:r w:rsidRPr="003F4A91">
              <w:rPr>
                <w:rFonts w:ascii="Calibri" w:eastAsia="Calibri" w:hAnsi="Calibri" w:cs="Calibri"/>
              </w:rPr>
              <w:t xml:space="preserve"> that coordinates access to services, and helps to overcome reluctance to report sexual exploitation of children.</w:t>
            </w:r>
          </w:p>
        </w:tc>
        <w:tc>
          <w:tcPr>
            <w:tcW w:w="1701" w:type="dxa"/>
          </w:tcPr>
          <w:p w14:paraId="192F8242"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Yes</w:t>
            </w:r>
          </w:p>
        </w:tc>
        <w:tc>
          <w:tcPr>
            <w:tcW w:w="6520" w:type="dxa"/>
          </w:tcPr>
          <w:p w14:paraId="5863A428" w14:textId="77777777" w:rsidR="00B6521F" w:rsidRDefault="00B6521F" w:rsidP="00B6521F">
            <w:pPr>
              <w:jc w:val="both"/>
              <w:rPr>
                <w:rFonts w:ascii="Calibri" w:hAnsi="Calibri" w:cs="Calibri"/>
              </w:rPr>
            </w:pPr>
            <w:r w:rsidRPr="0003503B">
              <w:rPr>
                <w:rFonts w:ascii="Calibri" w:hAnsi="Calibri" w:cs="Calibri"/>
              </w:rPr>
              <w:t xml:space="preserve">In 2018, Bhutan launched the “Child Helpline 1098” for children in need of care and protection. </w:t>
            </w:r>
            <w:r w:rsidRPr="00A84EBF">
              <w:rPr>
                <w:rFonts w:ascii="Calibri" w:hAnsi="Calibri" w:cs="Calibri"/>
                <w:color w:val="222221"/>
                <w:shd w:val="clear" w:color="auto" w:fill="FFFFFF"/>
              </w:rPr>
              <w:t xml:space="preserve"> The Child Helpline </w:t>
            </w:r>
            <w:r>
              <w:rPr>
                <w:rFonts w:ascii="Calibri" w:hAnsi="Calibri" w:cs="Calibri"/>
                <w:color w:val="222221"/>
                <w:shd w:val="clear" w:color="auto" w:fill="FFFFFF"/>
              </w:rPr>
              <w:t>aims at</w:t>
            </w:r>
            <w:r w:rsidRPr="00A84EBF">
              <w:rPr>
                <w:rFonts w:ascii="Calibri" w:hAnsi="Calibri" w:cs="Calibri"/>
                <w:color w:val="222221"/>
                <w:shd w:val="clear" w:color="auto" w:fill="FFFFFF"/>
              </w:rPr>
              <w:t xml:space="preserve"> provi</w:t>
            </w:r>
            <w:r>
              <w:rPr>
                <w:rFonts w:ascii="Calibri" w:hAnsi="Calibri" w:cs="Calibri"/>
                <w:color w:val="222221"/>
                <w:shd w:val="clear" w:color="auto" w:fill="FFFFFF"/>
              </w:rPr>
              <w:t>ding</w:t>
            </w:r>
            <w:r w:rsidRPr="00A84EBF">
              <w:rPr>
                <w:rFonts w:ascii="Calibri" w:hAnsi="Calibri" w:cs="Calibri"/>
                <w:color w:val="222221"/>
                <w:shd w:val="clear" w:color="auto" w:fill="FFFFFF"/>
              </w:rPr>
              <w:t xml:space="preserve"> timely, </w:t>
            </w:r>
            <w:proofErr w:type="gramStart"/>
            <w:r w:rsidRPr="00A84EBF">
              <w:rPr>
                <w:rFonts w:ascii="Calibri" w:hAnsi="Calibri" w:cs="Calibri"/>
                <w:color w:val="222221"/>
                <w:shd w:val="clear" w:color="auto" w:fill="FFFFFF"/>
              </w:rPr>
              <w:t>efficient</w:t>
            </w:r>
            <w:proofErr w:type="gramEnd"/>
            <w:r w:rsidRPr="00A84EBF">
              <w:rPr>
                <w:rFonts w:ascii="Calibri" w:hAnsi="Calibri" w:cs="Calibri"/>
                <w:color w:val="222221"/>
                <w:shd w:val="clear" w:color="auto" w:fill="FFFFFF"/>
              </w:rPr>
              <w:t xml:space="preserve"> and effective protection services to children round the clock through counselling, legal information and instant facilitation and referrals to relevant authorities, agencies and organizations, and ensure quality care, support and appropriate services by trained and qualified personnel.</w:t>
            </w:r>
            <w:r>
              <w:rPr>
                <w:rFonts w:ascii="Calibri" w:hAnsi="Calibri" w:cs="Calibri"/>
                <w:color w:val="222221"/>
                <w:shd w:val="clear" w:color="auto" w:fill="FFFFFF"/>
              </w:rPr>
              <w:t xml:space="preserve"> Read more </w:t>
            </w:r>
            <w:hyperlink r:id="rId14" w:history="1">
              <w:r w:rsidRPr="00E55B92">
                <w:rPr>
                  <w:rStyle w:val="Hyperlink"/>
                  <w:rFonts w:ascii="Calibri" w:hAnsi="Calibri" w:cs="Calibri"/>
                  <w:shd w:val="clear" w:color="auto" w:fill="FFFFFF"/>
                </w:rPr>
                <w:t>here</w:t>
              </w:r>
            </w:hyperlink>
            <w:r>
              <w:rPr>
                <w:rFonts w:ascii="Calibri" w:hAnsi="Calibri" w:cs="Calibri"/>
                <w:color w:val="222221"/>
                <w:shd w:val="clear" w:color="auto" w:fill="FFFFFF"/>
              </w:rPr>
              <w:t>.</w:t>
            </w:r>
          </w:p>
          <w:p w14:paraId="0BD91763" w14:textId="77777777" w:rsidR="00A21390" w:rsidRPr="00680020" w:rsidRDefault="00A21390" w:rsidP="00C33EAA">
            <w:pPr>
              <w:rPr>
                <w:rFonts w:cstheme="minorHAnsi"/>
              </w:rPr>
            </w:pPr>
          </w:p>
          <w:p w14:paraId="2262DEF9" w14:textId="1267EC39" w:rsidR="00A21390" w:rsidRPr="00680020" w:rsidRDefault="00A21390" w:rsidP="00C33EAA">
            <w:pPr>
              <w:rPr>
                <w:rFonts w:cstheme="minorHAnsi"/>
              </w:rPr>
            </w:pPr>
          </w:p>
          <w:p w14:paraId="4610BE2A" w14:textId="77777777" w:rsidR="00A21390" w:rsidRPr="00680020" w:rsidRDefault="00A21390" w:rsidP="00C33EAA">
            <w:pPr>
              <w:rPr>
                <w:rFonts w:cstheme="minorHAnsi"/>
                <w:lang w:val="en-GB"/>
              </w:rPr>
            </w:pPr>
          </w:p>
        </w:tc>
      </w:tr>
      <w:tr w:rsidR="00A21390" w:rsidRPr="00680020" w14:paraId="1A965A29" w14:textId="77777777" w:rsidTr="00A21390">
        <w:trPr>
          <w:trHeight w:val="557"/>
        </w:trPr>
        <w:tc>
          <w:tcPr>
            <w:tcW w:w="425" w:type="dxa"/>
          </w:tcPr>
          <w:p w14:paraId="68F41B01"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77BCDC03" w14:textId="77777777" w:rsidR="00A21390" w:rsidRPr="00680020" w:rsidRDefault="00A21390" w:rsidP="00C33EAA">
            <w:pPr>
              <w:rPr>
                <w:rFonts w:cstheme="minorHAnsi"/>
              </w:rPr>
            </w:pPr>
            <w:r w:rsidRPr="003F4A91">
              <w:rPr>
                <w:rFonts w:ascii="Calibri" w:eastAsia="Calibri" w:hAnsi="Calibri" w:cs="Calibri"/>
              </w:rPr>
              <w:t xml:space="preserve">Create </w:t>
            </w:r>
            <w:r w:rsidRPr="003F4A91">
              <w:rPr>
                <w:rFonts w:ascii="Calibri" w:eastAsia="Calibri" w:hAnsi="Calibri" w:cs="Calibri"/>
                <w:b/>
              </w:rPr>
              <w:t xml:space="preserve">data retention and </w:t>
            </w:r>
            <w:r w:rsidRPr="003F4A91">
              <w:rPr>
                <w:rFonts w:ascii="Calibri" w:eastAsia="Calibri" w:hAnsi="Calibri" w:cs="Calibri"/>
              </w:rPr>
              <w:t xml:space="preserve">preservation laws, </w:t>
            </w:r>
            <w:proofErr w:type="gramStart"/>
            <w:r w:rsidRPr="003F4A91">
              <w:rPr>
                <w:rFonts w:ascii="Calibri" w:eastAsia="Calibri" w:hAnsi="Calibri" w:cs="Calibri"/>
              </w:rPr>
              <w:t>regulations</w:t>
            </w:r>
            <w:proofErr w:type="gramEnd"/>
            <w:r w:rsidRPr="003F4A91">
              <w:rPr>
                <w:rFonts w:ascii="Calibri" w:eastAsia="Calibri" w:hAnsi="Calibri" w:cs="Calibri"/>
              </w:rPr>
              <w:t xml:space="preserve"> and procedures, to ensure the retention and preservation </w:t>
            </w:r>
            <w:r w:rsidRPr="003F4A91">
              <w:rPr>
                <w:rFonts w:ascii="Calibri" w:eastAsia="Calibri" w:hAnsi="Calibri" w:cs="Calibri"/>
              </w:rPr>
              <w:lastRenderedPageBreak/>
              <w:t>of digital evidence and enable cooperation with law enforcement which applies to ISPs, mobile phone companies, digital social media and communication companies, cloud storage companies, based in/operating in national jurisdiction</w:t>
            </w:r>
            <w:r>
              <w:rPr>
                <w:rFonts w:ascii="Calibri" w:eastAsia="Calibri" w:hAnsi="Calibri" w:cs="Calibri"/>
              </w:rPr>
              <w:t>.</w:t>
            </w:r>
          </w:p>
        </w:tc>
        <w:tc>
          <w:tcPr>
            <w:tcW w:w="1701" w:type="dxa"/>
          </w:tcPr>
          <w:p w14:paraId="23515973" w14:textId="19C5398A" w:rsidR="00A21390" w:rsidRPr="00A20A79" w:rsidRDefault="00B6521F" w:rsidP="00C33EAA">
            <w:pPr>
              <w:rPr>
                <w:rFonts w:cstheme="minorHAnsi"/>
                <w:bCs/>
                <w:color w:val="000000" w:themeColor="text1"/>
                <w:lang w:val="en-GB"/>
              </w:rPr>
            </w:pPr>
            <w:r>
              <w:rPr>
                <w:rFonts w:cstheme="minorHAnsi"/>
                <w:bCs/>
                <w:color w:val="000000" w:themeColor="text1"/>
                <w:lang w:val="en-GB"/>
              </w:rPr>
              <w:lastRenderedPageBreak/>
              <w:t>Partially</w:t>
            </w:r>
          </w:p>
        </w:tc>
        <w:tc>
          <w:tcPr>
            <w:tcW w:w="6520" w:type="dxa"/>
          </w:tcPr>
          <w:p w14:paraId="4B666C1A" w14:textId="77777777" w:rsidR="00B6521F" w:rsidRPr="00BF1A03" w:rsidRDefault="00B6521F" w:rsidP="00B6521F">
            <w:pPr>
              <w:jc w:val="both"/>
              <w:rPr>
                <w:rFonts w:ascii="Calibri" w:hAnsi="Calibri" w:cs="Calibri"/>
              </w:rPr>
            </w:pPr>
            <w:r w:rsidRPr="00BF1A03">
              <w:rPr>
                <w:rFonts w:ascii="Calibri" w:hAnsi="Calibri" w:cs="Calibri"/>
              </w:rPr>
              <w:t xml:space="preserve">The ICM Act provides for data retention however it does not </w:t>
            </w:r>
            <w:r>
              <w:rPr>
                <w:rFonts w:ascii="Calibri" w:hAnsi="Calibri" w:cs="Calibri"/>
              </w:rPr>
              <w:t xml:space="preserve">specifically relate to handling of evidence in SEC cases. </w:t>
            </w:r>
          </w:p>
          <w:p w14:paraId="19910A9D" w14:textId="02C362D7" w:rsidR="00B6521F" w:rsidRDefault="00B6521F" w:rsidP="00B6521F">
            <w:pPr>
              <w:jc w:val="both"/>
              <w:rPr>
                <w:rFonts w:ascii="Calibri" w:hAnsi="Calibri" w:cs="Calibri"/>
              </w:rPr>
            </w:pPr>
            <w:r w:rsidRPr="00BF1A03">
              <w:rPr>
                <w:rFonts w:ascii="Calibri" w:hAnsi="Calibri" w:cs="Calibri"/>
              </w:rPr>
              <w:lastRenderedPageBreak/>
              <w:t xml:space="preserve">The ICM Act provides for data retention however it does not </w:t>
            </w:r>
            <w:r>
              <w:rPr>
                <w:rFonts w:ascii="Calibri" w:hAnsi="Calibri" w:cs="Calibri"/>
              </w:rPr>
              <w:t xml:space="preserve">specifically relate to handling of evidence in SEC cases. </w:t>
            </w:r>
          </w:p>
          <w:p w14:paraId="74FD4133" w14:textId="77777777" w:rsidR="00B6521F" w:rsidRDefault="00B6521F" w:rsidP="00B6521F">
            <w:pPr>
              <w:jc w:val="both"/>
              <w:rPr>
                <w:rFonts w:ascii="Calibri" w:hAnsi="Calibri" w:cs="Calibri"/>
              </w:rPr>
            </w:pPr>
          </w:p>
          <w:p w14:paraId="334DFC2F" w14:textId="6C50DB62" w:rsidR="00B6521F" w:rsidRPr="00BF1A03" w:rsidRDefault="00B6521F" w:rsidP="00B6521F">
            <w:pPr>
              <w:jc w:val="both"/>
              <w:rPr>
                <w:rFonts w:ascii="Calibri" w:hAnsi="Calibri" w:cs="Calibri"/>
              </w:rPr>
            </w:pPr>
            <w:r w:rsidRPr="00BF1A03">
              <w:rPr>
                <w:rFonts w:ascii="Calibri" w:hAnsi="Calibri" w:cs="Calibri"/>
              </w:rPr>
              <w:t xml:space="preserve">Notwithstanding, with special reference to child victims and witnesses, Rule 202 of the CCPRR 2015 states, “the best interests of the child shall be given primary consideration, if a conflict arises between serving of the best interests of the child witness or victim and any other equally legitimate rights or interests”. </w:t>
            </w:r>
          </w:p>
          <w:p w14:paraId="02E15C16" w14:textId="51D06FA4" w:rsidR="00A21390" w:rsidRPr="00680020" w:rsidRDefault="00B6521F" w:rsidP="00B6521F">
            <w:pPr>
              <w:rPr>
                <w:rFonts w:cstheme="minorHAnsi"/>
                <w:lang w:val="en-GB"/>
              </w:rPr>
            </w:pPr>
            <w:r>
              <w:rPr>
                <w:rFonts w:ascii="Calibri" w:hAnsi="Calibri" w:cs="Calibri"/>
              </w:rPr>
              <w:t>Further</w:t>
            </w:r>
            <w:r w:rsidRPr="00BF1A03">
              <w:rPr>
                <w:rFonts w:ascii="Calibri" w:hAnsi="Calibri" w:cs="Calibri"/>
              </w:rPr>
              <w:t>, Section 350 prohibits an ICT and Media facility or service provider and vendor from collecting or disclosing children’s personal information without the express and verifiable consent of their parents or guardians.</w:t>
            </w:r>
          </w:p>
        </w:tc>
      </w:tr>
      <w:tr w:rsidR="00A21390" w:rsidRPr="00680020" w14:paraId="7EEE3949" w14:textId="77777777" w:rsidTr="00A21390">
        <w:trPr>
          <w:trHeight w:val="720"/>
        </w:trPr>
        <w:tc>
          <w:tcPr>
            <w:tcW w:w="425" w:type="dxa"/>
          </w:tcPr>
          <w:p w14:paraId="150DAA25"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4845105A" w14:textId="77777777" w:rsidR="00A21390" w:rsidRPr="00680020" w:rsidRDefault="00A21390" w:rsidP="00C33EAA">
            <w:pPr>
              <w:rPr>
                <w:rFonts w:cstheme="minorHAnsi"/>
                <w:lang w:val="en-GB"/>
              </w:rPr>
            </w:pPr>
            <w:r w:rsidRPr="005B171A">
              <w:rPr>
                <w:rFonts w:ascii="Calibri" w:eastAsia="Calibri" w:hAnsi="Calibri" w:cs="Calibri"/>
              </w:rPr>
              <w:t xml:space="preserve">Ensure that national legislation provides the </w:t>
            </w:r>
            <w:r w:rsidRPr="005B171A">
              <w:rPr>
                <w:rFonts w:ascii="Calibri" w:eastAsia="Calibri" w:hAnsi="Calibri" w:cs="Calibri"/>
                <w:b/>
              </w:rPr>
              <w:t>right for all child victims of sexual exploitation to seek compensation</w:t>
            </w:r>
            <w:r w:rsidRPr="005B171A">
              <w:rPr>
                <w:rFonts w:ascii="Calibri" w:eastAsia="Calibri" w:hAnsi="Calibri" w:cs="Calibri"/>
              </w:rPr>
              <w:t xml:space="preserve"> in national courts from convicted perpetrators who harmed them and/or through state-managed funds.</w:t>
            </w:r>
            <w:r w:rsidRPr="00680020">
              <w:rPr>
                <w:rFonts w:cstheme="minorHAnsi"/>
                <w:lang w:val="en-GB"/>
              </w:rPr>
              <w:t xml:space="preserve"> </w:t>
            </w:r>
          </w:p>
        </w:tc>
        <w:tc>
          <w:tcPr>
            <w:tcW w:w="1701" w:type="dxa"/>
          </w:tcPr>
          <w:p w14:paraId="1C912E67"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 Yes</w:t>
            </w:r>
          </w:p>
        </w:tc>
        <w:tc>
          <w:tcPr>
            <w:tcW w:w="6520" w:type="dxa"/>
          </w:tcPr>
          <w:p w14:paraId="6BF25BC2" w14:textId="77777777" w:rsidR="00B6521F" w:rsidRPr="0003503B" w:rsidRDefault="00B6521F" w:rsidP="00B6521F">
            <w:pPr>
              <w:jc w:val="both"/>
              <w:rPr>
                <w:rFonts w:ascii="Calibri" w:hAnsi="Calibri" w:cs="Calibri"/>
              </w:rPr>
            </w:pPr>
            <w:r w:rsidRPr="0003503B">
              <w:rPr>
                <w:rFonts w:ascii="Calibri" w:hAnsi="Calibri" w:cs="Calibri"/>
              </w:rPr>
              <w:t>Section 208(e) of the CCPC, a defendant may be ordered to pay compensation or damages and make restitution to the victim or his/her legal heir.</w:t>
            </w:r>
          </w:p>
          <w:p w14:paraId="4BB70488" w14:textId="77777777" w:rsidR="00B6521F" w:rsidRPr="0003503B" w:rsidRDefault="00B6521F" w:rsidP="00B6521F">
            <w:pPr>
              <w:jc w:val="both"/>
              <w:rPr>
                <w:rFonts w:ascii="Calibri" w:hAnsi="Calibri" w:cs="Calibri"/>
              </w:rPr>
            </w:pPr>
            <w:r w:rsidRPr="0003503B">
              <w:rPr>
                <w:rFonts w:ascii="Calibri" w:hAnsi="Calibri" w:cs="Calibri"/>
              </w:rPr>
              <w:t>Rule 41(o) of the CCPRR, allows the presiding Judge to order damages or reparation for the child and the child’s family as required.</w:t>
            </w:r>
          </w:p>
          <w:p w14:paraId="5455E991" w14:textId="4735B457" w:rsidR="00A21390" w:rsidRPr="00680020" w:rsidRDefault="00B6521F" w:rsidP="00B6521F">
            <w:pPr>
              <w:rPr>
                <w:rFonts w:cstheme="minorHAnsi"/>
                <w:lang w:val="en-GB"/>
              </w:rPr>
            </w:pPr>
            <w:r w:rsidRPr="0003503B">
              <w:rPr>
                <w:rFonts w:ascii="Calibri" w:hAnsi="Calibri" w:cs="Calibri"/>
              </w:rPr>
              <w:t>But there are no state-managed funds although Bhutan contributes to the UN Fund for Assistance to Victims of Sexual Exploitation and Abuse.</w:t>
            </w:r>
          </w:p>
        </w:tc>
      </w:tr>
    </w:tbl>
    <w:p w14:paraId="4BFD2D14" w14:textId="77777777" w:rsidR="008C63F0" w:rsidRPr="00680020" w:rsidRDefault="008C63F0" w:rsidP="008C63F0">
      <w:pPr>
        <w:rPr>
          <w:rFonts w:cstheme="minorHAnsi"/>
          <w:color w:val="136B41"/>
          <w:u w:val="single"/>
          <w:lang w:val="en-GB"/>
        </w:rPr>
      </w:pPr>
    </w:p>
    <w:p w14:paraId="1AB6C7C1" w14:textId="77777777" w:rsidR="008C63F0" w:rsidRPr="00680020" w:rsidRDefault="008C63F0" w:rsidP="008C63F0">
      <w:pPr>
        <w:rPr>
          <w:rFonts w:cstheme="minorHAnsi"/>
          <w:b/>
          <w:bCs/>
          <w:color w:val="136B41"/>
          <w:u w:val="single"/>
          <w:lang w:val="en-GB"/>
        </w:rPr>
      </w:pPr>
      <w:r w:rsidRPr="00680020">
        <w:rPr>
          <w:rFonts w:cstheme="minorHAnsi"/>
          <w:b/>
          <w:bCs/>
          <w:color w:val="136B41"/>
          <w:u w:val="single"/>
          <w:lang w:val="en-GB"/>
        </w:rPr>
        <w:t xml:space="preserve">Legal Sources: </w:t>
      </w:r>
    </w:p>
    <w:p w14:paraId="257E5033" w14:textId="77777777" w:rsidR="00B6521F" w:rsidRDefault="00B6521F" w:rsidP="00B6521F">
      <w:hyperlink r:id="rId15" w:history="1">
        <w:r w:rsidRPr="00DC2D4C">
          <w:rPr>
            <w:rStyle w:val="Hyperlink"/>
          </w:rPr>
          <w:t>The Child Care and Protection Act, 2011</w:t>
        </w:r>
      </w:hyperlink>
      <w:r>
        <w:rPr>
          <w:rStyle w:val="Hyperlink"/>
        </w:rPr>
        <w:t xml:space="preserve"> (CCPA)</w:t>
      </w:r>
    </w:p>
    <w:p w14:paraId="79D7788F" w14:textId="77777777" w:rsidR="00B6521F" w:rsidRDefault="00B6521F" w:rsidP="00B6521F">
      <w:pPr>
        <w:rPr>
          <w:rStyle w:val="Hyperlink"/>
        </w:rPr>
      </w:pPr>
      <w:hyperlink r:id="rId16" w:history="1">
        <w:r w:rsidRPr="00241610">
          <w:rPr>
            <w:rStyle w:val="Hyperlink"/>
          </w:rPr>
          <w:t>The Child Care and Protection Rules and Regulations of Bhutan, 2015</w:t>
        </w:r>
      </w:hyperlink>
      <w:r>
        <w:t xml:space="preserve"> (CCPRR)</w:t>
      </w:r>
    </w:p>
    <w:p w14:paraId="5A390374" w14:textId="77777777" w:rsidR="00B6521F" w:rsidRDefault="00B6521F" w:rsidP="00B6521F">
      <w:pPr>
        <w:rPr>
          <w:rStyle w:val="Hyperlink"/>
        </w:rPr>
      </w:pPr>
      <w:hyperlink r:id="rId17" w:history="1">
        <w:r w:rsidRPr="0090612D">
          <w:rPr>
            <w:rStyle w:val="Hyperlink"/>
          </w:rPr>
          <w:t>The Civil and Criminal Procedure Code of Bhutan, 2001</w:t>
        </w:r>
      </w:hyperlink>
      <w:r>
        <w:rPr>
          <w:rStyle w:val="Hyperlink"/>
        </w:rPr>
        <w:t xml:space="preserve"> (CCPC)</w:t>
      </w:r>
    </w:p>
    <w:p w14:paraId="58465C92" w14:textId="77777777" w:rsidR="00B6521F" w:rsidRDefault="00B6521F" w:rsidP="00B6521F">
      <w:pPr>
        <w:rPr>
          <w:rStyle w:val="Hyperlink"/>
        </w:rPr>
      </w:pPr>
      <w:r w:rsidRPr="0090612D">
        <w:rPr>
          <w:rStyle w:val="Hyperlink"/>
        </w:rPr>
        <w:t>The Civil and Criminal Procedure Code of Bhut</w:t>
      </w:r>
      <w:r>
        <w:rPr>
          <w:rStyle w:val="Hyperlink"/>
        </w:rPr>
        <w:t xml:space="preserve">an Amendment Act, </w:t>
      </w:r>
      <w:hyperlink r:id="rId18" w:history="1">
        <w:r w:rsidRPr="0090612D">
          <w:rPr>
            <w:rStyle w:val="Hyperlink"/>
          </w:rPr>
          <w:t>2011</w:t>
        </w:r>
      </w:hyperlink>
      <w:r>
        <w:rPr>
          <w:rStyle w:val="Hyperlink"/>
        </w:rPr>
        <w:t xml:space="preserve">. </w:t>
      </w:r>
    </w:p>
    <w:p w14:paraId="1E5A284E" w14:textId="77777777" w:rsidR="00B6521F" w:rsidRDefault="00B6521F" w:rsidP="00B6521F">
      <w:hyperlink r:id="rId19" w:history="1">
        <w:r w:rsidRPr="00241610">
          <w:rPr>
            <w:rStyle w:val="Hyperlink"/>
          </w:rPr>
          <w:t>The Extradition Act of Bhutan, 1989.</w:t>
        </w:r>
      </w:hyperlink>
      <w:r>
        <w:t xml:space="preserve"> </w:t>
      </w:r>
    </w:p>
    <w:p w14:paraId="03C8F4F5" w14:textId="77777777" w:rsidR="00B6521F" w:rsidRDefault="00B6521F" w:rsidP="00B6521F">
      <w:hyperlink r:id="rId20" w:history="1">
        <w:r>
          <w:rPr>
            <w:rStyle w:val="Hyperlink"/>
          </w:rPr>
          <w:t>The I</w:t>
        </w:r>
        <w:r w:rsidRPr="00BA5BC9">
          <w:rPr>
            <w:rStyle w:val="Hyperlink"/>
          </w:rPr>
          <w:t>nformation, Communication and Media Act of Bhutan, 2018</w:t>
        </w:r>
      </w:hyperlink>
      <w:r>
        <w:t>. (ICMA)</w:t>
      </w:r>
    </w:p>
    <w:p w14:paraId="4F6A0C75" w14:textId="77777777" w:rsidR="00B6521F" w:rsidRDefault="00B6521F" w:rsidP="00B6521F">
      <w:hyperlink r:id="rId21" w:history="1">
        <w:r w:rsidRPr="005128AB">
          <w:rPr>
            <w:rStyle w:val="Hyperlink"/>
          </w:rPr>
          <w:t>The Immigration Act 2007</w:t>
        </w:r>
      </w:hyperlink>
    </w:p>
    <w:p w14:paraId="326CB9D9" w14:textId="77777777" w:rsidR="00B6521F" w:rsidRDefault="00B6521F" w:rsidP="00B6521F">
      <w:hyperlink r:id="rId22" w:history="1">
        <w:r w:rsidRPr="005128AB">
          <w:rPr>
            <w:rStyle w:val="Hyperlink"/>
          </w:rPr>
          <w:t xml:space="preserve">The </w:t>
        </w:r>
        <w:proofErr w:type="spellStart"/>
        <w:r w:rsidRPr="005128AB">
          <w:rPr>
            <w:rStyle w:val="Hyperlink"/>
          </w:rPr>
          <w:t>Labour</w:t>
        </w:r>
        <w:proofErr w:type="spellEnd"/>
        <w:r w:rsidRPr="005128AB">
          <w:rPr>
            <w:rStyle w:val="Hyperlink"/>
          </w:rPr>
          <w:t xml:space="preserve"> and Employment Act 2007</w:t>
        </w:r>
      </w:hyperlink>
    </w:p>
    <w:p w14:paraId="10228F67" w14:textId="77777777" w:rsidR="00B6521F" w:rsidRDefault="00B6521F" w:rsidP="00B6521F">
      <w:hyperlink r:id="rId23" w:history="1">
        <w:r w:rsidRPr="00F36D1E">
          <w:rPr>
            <w:rStyle w:val="Hyperlink"/>
          </w:rPr>
          <w:t>The Penal Code of Bhutan, 2004.</w:t>
        </w:r>
      </w:hyperlink>
      <w:r>
        <w:t xml:space="preserve"> </w:t>
      </w:r>
    </w:p>
    <w:p w14:paraId="18E42688" w14:textId="77777777" w:rsidR="00B6521F" w:rsidRDefault="00B6521F" w:rsidP="00B6521F">
      <w:pPr>
        <w:rPr>
          <w:rStyle w:val="Hyperlink"/>
        </w:rPr>
      </w:pPr>
      <w:hyperlink r:id="rId24" w:history="1">
        <w:r w:rsidRPr="00F36D1E">
          <w:rPr>
            <w:rStyle w:val="Hyperlink"/>
          </w:rPr>
          <w:t>The Penal Code Amendment Act of Bhutan, 2011</w:t>
        </w:r>
      </w:hyperlink>
    </w:p>
    <w:p w14:paraId="03A6E728" w14:textId="77777777" w:rsidR="00B6521F" w:rsidRPr="00F6729E" w:rsidRDefault="00B6521F" w:rsidP="00B6521F">
      <w:hyperlink r:id="rId25" w:history="1">
        <w:r w:rsidRPr="00FD0862">
          <w:rPr>
            <w:rStyle w:val="Hyperlink"/>
          </w:rPr>
          <w:t>The Tourism Rules and Regulations 2017</w:t>
        </w:r>
      </w:hyperlink>
    </w:p>
    <w:p w14:paraId="5F002426" w14:textId="77777777" w:rsidR="008C63F0" w:rsidRPr="00680020" w:rsidRDefault="008C63F0" w:rsidP="008C63F0">
      <w:pPr>
        <w:rPr>
          <w:rFonts w:cstheme="minorHAnsi"/>
          <w:color w:val="136B41"/>
          <w:u w:val="single"/>
          <w:lang w:val="en-GB"/>
        </w:rPr>
      </w:pPr>
      <w:r w:rsidRPr="00680020">
        <w:rPr>
          <w:rFonts w:cstheme="minorHAnsi"/>
          <w:color w:val="136B41"/>
          <w:u w:val="single"/>
          <w:lang w:val="en-GB"/>
        </w:rPr>
        <w:br w:type="page"/>
      </w:r>
    </w:p>
    <w:p w14:paraId="2377C1D0" w14:textId="77777777" w:rsidR="008B4D46" w:rsidRPr="00680020" w:rsidRDefault="008B4D46">
      <w:pPr>
        <w:rPr>
          <w:rFonts w:cstheme="minorHAnsi"/>
          <w:lang w:val="en-GB"/>
        </w:rPr>
      </w:pPr>
    </w:p>
    <w:sectPr w:rsidR="008B4D46" w:rsidRPr="00680020" w:rsidSect="008C63F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2B6F0" w14:textId="77777777" w:rsidR="009B6ADD" w:rsidRDefault="009B6ADD" w:rsidP="00680020">
      <w:pPr>
        <w:spacing w:after="0" w:line="240" w:lineRule="auto"/>
      </w:pPr>
      <w:r>
        <w:separator/>
      </w:r>
    </w:p>
  </w:endnote>
  <w:endnote w:type="continuationSeparator" w:id="0">
    <w:p w14:paraId="357129AA" w14:textId="77777777" w:rsidR="009B6ADD" w:rsidRDefault="009B6ADD" w:rsidP="00680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37FC2" w14:textId="77777777" w:rsidR="009B6ADD" w:rsidRDefault="009B6ADD" w:rsidP="00680020">
      <w:pPr>
        <w:spacing w:after="0" w:line="240" w:lineRule="auto"/>
      </w:pPr>
      <w:r>
        <w:separator/>
      </w:r>
    </w:p>
  </w:footnote>
  <w:footnote w:type="continuationSeparator" w:id="0">
    <w:p w14:paraId="1391ECF2" w14:textId="77777777" w:rsidR="009B6ADD" w:rsidRDefault="009B6ADD" w:rsidP="00680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1B37"/>
    <w:multiLevelType w:val="multilevel"/>
    <w:tmpl w:val="A84E3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65408F"/>
    <w:multiLevelType w:val="hybridMultilevel"/>
    <w:tmpl w:val="EF120DE6"/>
    <w:lvl w:ilvl="0" w:tplc="CA34DCB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3E882F96"/>
    <w:multiLevelType w:val="hybridMultilevel"/>
    <w:tmpl w:val="9334CBE2"/>
    <w:lvl w:ilvl="0" w:tplc="2D44E6FA">
      <w:start w:val="1"/>
      <w:numFmt w:val="bullet"/>
      <w:lvlText w:val=""/>
      <w:lvlJc w:val="left"/>
      <w:pPr>
        <w:ind w:left="288" w:firstLine="7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75B50"/>
    <w:multiLevelType w:val="hybridMultilevel"/>
    <w:tmpl w:val="7F1AB0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E981D36"/>
    <w:multiLevelType w:val="hybridMultilevel"/>
    <w:tmpl w:val="70A00A38"/>
    <w:lvl w:ilvl="0" w:tplc="13920746">
      <w:start w:val="1"/>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78E24E27"/>
    <w:multiLevelType w:val="hybridMultilevel"/>
    <w:tmpl w:val="0D0AA560"/>
    <w:lvl w:ilvl="0" w:tplc="DFAC580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3456503">
    <w:abstractNumId w:val="2"/>
  </w:num>
  <w:num w:numId="2" w16cid:durableId="993407960">
    <w:abstractNumId w:val="3"/>
  </w:num>
  <w:num w:numId="3" w16cid:durableId="1149976859">
    <w:abstractNumId w:val="1"/>
  </w:num>
  <w:num w:numId="4" w16cid:durableId="307322614">
    <w:abstractNumId w:val="4"/>
  </w:num>
  <w:num w:numId="5" w16cid:durableId="1898515530">
    <w:abstractNumId w:val="5"/>
  </w:num>
  <w:num w:numId="6" w16cid:durableId="1966159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FE4"/>
    <w:rsid w:val="00204C47"/>
    <w:rsid w:val="00205310"/>
    <w:rsid w:val="00210380"/>
    <w:rsid w:val="004052DE"/>
    <w:rsid w:val="004E1FF9"/>
    <w:rsid w:val="005E1FE4"/>
    <w:rsid w:val="006411A5"/>
    <w:rsid w:val="00680020"/>
    <w:rsid w:val="007F015D"/>
    <w:rsid w:val="008669B7"/>
    <w:rsid w:val="008B4D46"/>
    <w:rsid w:val="008C63F0"/>
    <w:rsid w:val="00975F02"/>
    <w:rsid w:val="009950F8"/>
    <w:rsid w:val="009B33CD"/>
    <w:rsid w:val="009B6ADD"/>
    <w:rsid w:val="00A20A79"/>
    <w:rsid w:val="00A21390"/>
    <w:rsid w:val="00A42073"/>
    <w:rsid w:val="00B6521F"/>
    <w:rsid w:val="00C1694D"/>
    <w:rsid w:val="00C2067D"/>
    <w:rsid w:val="00D723F3"/>
    <w:rsid w:val="00DE1821"/>
    <w:rsid w:val="00DF78CF"/>
    <w:rsid w:val="00E07168"/>
    <w:rsid w:val="00E97227"/>
    <w:rsid w:val="00F93302"/>
    <w:rsid w:val="00F955BE"/>
    <w:rsid w:val="00FA4600"/>
    <w:rsid w:val="00FD1C61"/>
    <w:rsid w:val="00FE0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082F"/>
  <w15:chartTrackingRefBased/>
  <w15:docId w15:val="{9EDC224C-43A1-4377-8FA6-7464FF26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C63F0"/>
    <w:pPr>
      <w:pBdr>
        <w:top w:val="nil"/>
        <w:left w:val="nil"/>
        <w:bottom w:val="nil"/>
        <w:right w:val="nil"/>
        <w:between w:val="nil"/>
      </w:pBdr>
      <w:tabs>
        <w:tab w:val="center" w:pos="6979"/>
      </w:tabs>
      <w:spacing w:after="0" w:line="276" w:lineRule="auto"/>
      <w:jc w:val="center"/>
      <w:outlineLvl w:val="1"/>
    </w:pPr>
    <w:rPr>
      <w:rFonts w:asciiTheme="majorHAnsi" w:eastAsia="Arial" w:hAnsiTheme="majorHAnsi" w:cstheme="majorHAnsi"/>
      <w:b/>
      <w:noProof/>
      <w:color w:val="002060"/>
      <w:sz w:val="32"/>
      <w:szCs w:val="32"/>
      <w:lang w:val="en-GB" w:bidi="th-TH"/>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63F0"/>
    <w:rPr>
      <w:rFonts w:asciiTheme="majorHAnsi" w:eastAsia="Arial" w:hAnsiTheme="majorHAnsi" w:cstheme="majorHAnsi"/>
      <w:b/>
      <w:noProof/>
      <w:color w:val="002060"/>
      <w:sz w:val="32"/>
      <w:szCs w:val="32"/>
      <w:lang w:val="en-GB" w:bidi="th-TH"/>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8C63F0"/>
    <w:pPr>
      <w:pBdr>
        <w:top w:val="nil"/>
        <w:left w:val="nil"/>
        <w:bottom w:val="nil"/>
        <w:right w:val="nil"/>
        <w:between w:val="nil"/>
      </w:pBdr>
      <w:spacing w:after="0" w:line="276" w:lineRule="auto"/>
      <w:ind w:left="720"/>
      <w:contextualSpacing/>
    </w:pPr>
    <w:rPr>
      <w:rFonts w:ascii="Arial" w:eastAsia="Arial" w:hAnsi="Arial" w:cs="Cordia New"/>
      <w:color w:val="000000"/>
      <w:szCs w:val="28"/>
      <w:lang w:bidi="th-TH"/>
    </w:rPr>
  </w:style>
  <w:style w:type="character" w:styleId="Hyperlink">
    <w:name w:val="Hyperlink"/>
    <w:basedOn w:val="DefaultParagraphFont"/>
    <w:uiPriority w:val="99"/>
    <w:unhideWhenUsed/>
    <w:rsid w:val="008C63F0"/>
    <w:rPr>
      <w:color w:val="0563C1" w:themeColor="hyperlink"/>
      <w:u w:val="single"/>
    </w:rPr>
  </w:style>
  <w:style w:type="table" w:styleId="PlainTable2">
    <w:name w:val="Plain Table 2"/>
    <w:basedOn w:val="TableNormal"/>
    <w:uiPriority w:val="42"/>
    <w:rsid w:val="008C63F0"/>
    <w:pPr>
      <w:pBdr>
        <w:top w:val="nil"/>
        <w:left w:val="nil"/>
        <w:bottom w:val="nil"/>
        <w:right w:val="nil"/>
        <w:between w:val="nil"/>
      </w:pBdr>
      <w:spacing w:after="0" w:line="240" w:lineRule="auto"/>
    </w:pPr>
    <w:rPr>
      <w:rFonts w:ascii="Arial" w:eastAsia="Arial" w:hAnsi="Arial" w:cs="Arial"/>
      <w:color w:val="000000"/>
      <w:lang w:bidi="th-TH"/>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8C63F0"/>
    <w:pPr>
      <w:autoSpaceDE w:val="0"/>
      <w:autoSpaceDN w:val="0"/>
      <w:adjustRightInd w:val="0"/>
      <w:spacing w:after="0" w:line="240" w:lineRule="auto"/>
    </w:pPr>
    <w:rPr>
      <w:rFonts w:ascii="Cambria" w:eastAsia="Arial" w:hAnsi="Cambria" w:cs="Cambria"/>
      <w:color w:val="000000"/>
      <w:sz w:val="24"/>
      <w:szCs w:val="24"/>
    </w:rPr>
  </w:style>
  <w:style w:type="character" w:styleId="CommentReference">
    <w:name w:val="annotation reference"/>
    <w:basedOn w:val="DefaultParagraphFont"/>
    <w:uiPriority w:val="99"/>
    <w:semiHidden/>
    <w:unhideWhenUsed/>
    <w:rsid w:val="00680020"/>
    <w:rPr>
      <w:sz w:val="16"/>
      <w:szCs w:val="16"/>
    </w:rPr>
  </w:style>
  <w:style w:type="paragraph" w:styleId="CommentText">
    <w:name w:val="annotation text"/>
    <w:basedOn w:val="Normal"/>
    <w:link w:val="CommentTextChar"/>
    <w:uiPriority w:val="99"/>
    <w:semiHidden/>
    <w:unhideWhenUsed/>
    <w:rsid w:val="00680020"/>
    <w:pPr>
      <w:spacing w:line="240" w:lineRule="auto"/>
    </w:pPr>
    <w:rPr>
      <w:sz w:val="20"/>
      <w:szCs w:val="20"/>
    </w:rPr>
  </w:style>
  <w:style w:type="character" w:customStyle="1" w:styleId="CommentTextChar">
    <w:name w:val="Comment Text Char"/>
    <w:basedOn w:val="DefaultParagraphFont"/>
    <w:link w:val="CommentText"/>
    <w:uiPriority w:val="99"/>
    <w:semiHidden/>
    <w:rsid w:val="00680020"/>
    <w:rPr>
      <w:sz w:val="20"/>
      <w:szCs w:val="20"/>
    </w:rPr>
  </w:style>
  <w:style w:type="paragraph" w:styleId="CommentSubject">
    <w:name w:val="annotation subject"/>
    <w:basedOn w:val="CommentText"/>
    <w:next w:val="CommentText"/>
    <w:link w:val="CommentSubjectChar"/>
    <w:uiPriority w:val="99"/>
    <w:semiHidden/>
    <w:unhideWhenUsed/>
    <w:rsid w:val="00680020"/>
    <w:rPr>
      <w:b/>
      <w:bCs/>
    </w:rPr>
  </w:style>
  <w:style w:type="character" w:customStyle="1" w:styleId="CommentSubjectChar">
    <w:name w:val="Comment Subject Char"/>
    <w:basedOn w:val="CommentTextChar"/>
    <w:link w:val="CommentSubject"/>
    <w:uiPriority w:val="99"/>
    <w:semiHidden/>
    <w:rsid w:val="00680020"/>
    <w:rPr>
      <w:b/>
      <w:bCs/>
      <w:sz w:val="20"/>
      <w:szCs w:val="20"/>
    </w:rPr>
  </w:style>
  <w:style w:type="paragraph" w:styleId="BalloonText">
    <w:name w:val="Balloon Text"/>
    <w:basedOn w:val="Normal"/>
    <w:link w:val="BalloonTextChar"/>
    <w:uiPriority w:val="99"/>
    <w:semiHidden/>
    <w:unhideWhenUsed/>
    <w:rsid w:val="00680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020"/>
    <w:rPr>
      <w:rFonts w:ascii="Segoe UI" w:hAnsi="Segoe UI" w:cs="Segoe UI"/>
      <w:sz w:val="18"/>
      <w:szCs w:val="18"/>
    </w:rPr>
  </w:style>
  <w:style w:type="paragraph" w:styleId="FootnoteText">
    <w:name w:val="footnote text"/>
    <w:basedOn w:val="Normal"/>
    <w:link w:val="FootnoteTextChar"/>
    <w:uiPriority w:val="99"/>
    <w:semiHidden/>
    <w:unhideWhenUsed/>
    <w:rsid w:val="00680020"/>
    <w:pPr>
      <w:spacing w:after="0" w:line="240" w:lineRule="auto"/>
    </w:pPr>
    <w:rPr>
      <w:sz w:val="20"/>
      <w:szCs w:val="25"/>
      <w:lang w:bidi="th-TH"/>
    </w:rPr>
  </w:style>
  <w:style w:type="character" w:customStyle="1" w:styleId="FootnoteTextChar">
    <w:name w:val="Footnote Text Char"/>
    <w:basedOn w:val="DefaultParagraphFont"/>
    <w:link w:val="FootnoteText"/>
    <w:uiPriority w:val="99"/>
    <w:semiHidden/>
    <w:rsid w:val="00680020"/>
    <w:rPr>
      <w:sz w:val="20"/>
      <w:szCs w:val="25"/>
      <w:lang w:bidi="th-TH"/>
    </w:rPr>
  </w:style>
  <w:style w:type="character" w:styleId="FootnoteReference">
    <w:name w:val="footnote reference"/>
    <w:basedOn w:val="DefaultParagraphFont"/>
    <w:uiPriority w:val="99"/>
    <w:unhideWhenUsed/>
    <w:rsid w:val="00680020"/>
    <w:rPr>
      <w:vertAlign w:val="superscript"/>
    </w:rPr>
  </w:style>
  <w:style w:type="table" w:styleId="TableGrid">
    <w:name w:val="Table Grid"/>
    <w:basedOn w:val="TableNormal"/>
    <w:uiPriority w:val="39"/>
    <w:rsid w:val="00E07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52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85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usinessbhutan.bt/2019/12/09/sexual-harassment-among-least-reported-sexual-offences/" TargetMode="External"/><Relationship Id="rId18" Type="http://schemas.openxmlformats.org/officeDocument/2006/relationships/hyperlink" Target="http://www.uaipit.com/uploads/legislacion/files/1363769048_7._The_Civil_and_Criminal_Procedure_Code_(Amendment)_Act_of_Bhutan_2011_EN.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ohca.gov.bt/Publications/ImmigrationAct2007.pdf" TargetMode="External"/><Relationship Id="rId7" Type="http://schemas.openxmlformats.org/officeDocument/2006/relationships/image" Target="media/image1.png"/><Relationship Id="rId12" Type="http://schemas.openxmlformats.org/officeDocument/2006/relationships/hyperlink" Target="https://ecpat.org/wp-content/uploads/2021/09/Assesment-Matrix_2021SEP_ENG_v2.pdf" TargetMode="External"/><Relationship Id="rId17" Type="http://schemas.openxmlformats.org/officeDocument/2006/relationships/hyperlink" Target="https://www.nationalcouncil.bt/assets/uploads/docs/acts/2014/Civil_and_criminal_Act_2001Eng.pdf" TargetMode="External"/><Relationship Id="rId25" Type="http://schemas.openxmlformats.org/officeDocument/2006/relationships/hyperlink" Target="https://www.tourism.gov.bt/uploads/attachment_files/tcb_aGbeNS45_tcb_102517_tourism-rules-and-regulations_2017.pdf" TargetMode="External"/><Relationship Id="rId2" Type="http://schemas.openxmlformats.org/officeDocument/2006/relationships/styles" Target="styles.xml"/><Relationship Id="rId16" Type="http://schemas.openxmlformats.org/officeDocument/2006/relationships/hyperlink" Target="https://www.ncwc.gov.bt/publications/Child%20Care%20and%20Protection%20%20Rules%20%20and%20Regulation%20of%20Bhutan%2020151559107053.pdf" TargetMode="External"/><Relationship Id="rId20" Type="http://schemas.openxmlformats.org/officeDocument/2006/relationships/hyperlink" Target="https://dit.gov.bt/sites/default/files/attachments/ICM%20Act%20201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pat.org/wp-content/uploads/2021/08/SECTT-Checklist_ENG_Explanatory-note.pdf" TargetMode="External"/><Relationship Id="rId24" Type="http://schemas.openxmlformats.org/officeDocument/2006/relationships/hyperlink" Target="https://www.nab.gov.bt/assets/uploads/docs/acts/2014/The_Penal_Code(Amendment)_Act_of_Bhutan_2011eng7th.pdf" TargetMode="External"/><Relationship Id="rId5" Type="http://schemas.openxmlformats.org/officeDocument/2006/relationships/footnotes" Target="footnotes.xml"/><Relationship Id="rId15" Type="http://schemas.openxmlformats.org/officeDocument/2006/relationships/hyperlink" Target="https://www.ilo.org/wcmsp5/groups/public/---asia/---ro-bangkok/---sro-new_delhi/documents/genericdocument/wcms_300620.pdf" TargetMode="External"/><Relationship Id="rId23" Type="http://schemas.openxmlformats.org/officeDocument/2006/relationships/hyperlink" Target="https://www.wipo.int/edocs/lexdocs/laws/en/bt/bt019en.pdf" TargetMode="External"/><Relationship Id="rId10" Type="http://schemas.openxmlformats.org/officeDocument/2006/relationships/hyperlink" Target="https://ecpat.org/wp-content/uploads/2021/08/Global-Report-Offenders-on-the-Move.pdf" TargetMode="External"/><Relationship Id="rId19" Type="http://schemas.openxmlformats.org/officeDocument/2006/relationships/hyperlink" Target="https://www.nationalcouncil.bt/assets/uploads/docs/acts/2014/Extradition_Act_1989(1991)Eng.pdf" TargetMode="External"/><Relationship Id="rId4" Type="http://schemas.openxmlformats.org/officeDocument/2006/relationships/webSettings" Target="webSettings.xml"/><Relationship Id="rId9" Type="http://schemas.openxmlformats.org/officeDocument/2006/relationships/hyperlink" Target="https://ecpat.org/wp-content/uploads/2021/09/SECTT-Checklist_ENG-1.pdf" TargetMode="External"/><Relationship Id="rId14" Type="http://schemas.openxmlformats.org/officeDocument/2006/relationships/hyperlink" Target="https://campaigns.savethechildren.net/blogs/tseyringsyeldennamgyel/bhutan-child-helpline-launched" TargetMode="External"/><Relationship Id="rId22" Type="http://schemas.openxmlformats.org/officeDocument/2006/relationships/hyperlink" Target="https://www.ilo.org/dyn/natlex/docs/ELECTRONIC/80218/86462/F1162145166/BTN80218%20English.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3362</Words>
  <Characters>19165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Varrella</dc:creator>
  <cp:keywords/>
  <dc:description/>
  <cp:lastModifiedBy>McKillop, M. (Mark)</cp:lastModifiedBy>
  <cp:revision>3</cp:revision>
  <dcterms:created xsi:type="dcterms:W3CDTF">2022-05-08T12:00:00Z</dcterms:created>
  <dcterms:modified xsi:type="dcterms:W3CDTF">2022-05-08T12:45:00Z</dcterms:modified>
</cp:coreProperties>
</file>