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C377" w14:textId="7541C987" w:rsidR="008C63F0" w:rsidRPr="00680020" w:rsidRDefault="00FD1C61" w:rsidP="008C63F0">
      <w:pPr>
        <w:rPr>
          <w:rFonts w:cstheme="minorHAnsi"/>
          <w:lang w:val="en-GB"/>
        </w:rPr>
      </w:pPr>
      <w:r w:rsidRPr="00680020">
        <w:rPr>
          <w:rFonts w:cstheme="minorHAnsi"/>
          <w:noProof/>
        </w:rPr>
        <w:drawing>
          <wp:anchor distT="0" distB="0" distL="114300" distR="114300" simplePos="0" relativeHeight="251660288" behindDoc="0" locked="0" layoutInCell="1" allowOverlap="1" wp14:anchorId="3D76D6E4" wp14:editId="56F7F045">
            <wp:simplePos x="0" y="0"/>
            <wp:positionH relativeFrom="column">
              <wp:posOffset>6907148</wp:posOffset>
            </wp:positionH>
            <wp:positionV relativeFrom="paragraph">
              <wp:posOffset>187569</wp:posOffset>
            </wp:positionV>
            <wp:extent cx="1194858" cy="7169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94858"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2DE">
        <w:rPr>
          <w:rFonts w:ascii="Calibri-Bold" w:hAnsi="Calibri-Bold" w:cs="Calibri-Bold"/>
          <w:b/>
          <w:bCs/>
          <w:noProof/>
          <w:color w:val="02436F"/>
          <w:sz w:val="32"/>
          <w:szCs w:val="32"/>
        </w:rPr>
        <w:drawing>
          <wp:anchor distT="0" distB="0" distL="114300" distR="114300" simplePos="0" relativeHeight="251662336" behindDoc="1" locked="0" layoutInCell="1" allowOverlap="1" wp14:anchorId="2E8B7D31" wp14:editId="77DD475C">
            <wp:simplePos x="0" y="0"/>
            <wp:positionH relativeFrom="column">
              <wp:posOffset>-77964</wp:posOffset>
            </wp:positionH>
            <wp:positionV relativeFrom="paragraph">
              <wp:posOffset>372745</wp:posOffset>
            </wp:positionV>
            <wp:extent cx="2292350" cy="731520"/>
            <wp:effectExtent l="0" t="0" r="6350" b="5080"/>
            <wp:wrapTight wrapText="bothSides">
              <wp:wrapPolygon edited="0">
                <wp:start x="0" y="0"/>
                <wp:lineTo x="0" y="21375"/>
                <wp:lineTo x="21540" y="21375"/>
                <wp:lineTo x="21540"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sidR="00D93323">
        <w:rPr>
          <w:rFonts w:ascii="Calibri-Bold" w:hAnsi="Calibri-Bold" w:cs="Calibri-Bold"/>
          <w:b/>
          <w:bCs/>
          <w:color w:val="02436F"/>
          <w:sz w:val="32"/>
          <w:szCs w:val="32"/>
        </w:rPr>
        <w:t>Bangladesh</w:t>
      </w:r>
    </w:p>
    <w:p w14:paraId="64576553" w14:textId="539562BE" w:rsidR="008C63F0" w:rsidRPr="00680020" w:rsidRDefault="008C63F0" w:rsidP="008C63F0">
      <w:pPr>
        <w:rPr>
          <w:rFonts w:cstheme="minorHAnsi"/>
          <w:lang w:val="en-GB"/>
        </w:rPr>
      </w:pPr>
    </w:p>
    <w:p w14:paraId="5FC358C9" w14:textId="77777777" w:rsidR="008C63F0" w:rsidRPr="00680020" w:rsidRDefault="008C63F0" w:rsidP="008C63F0">
      <w:pPr>
        <w:jc w:val="both"/>
        <w:rPr>
          <w:rFonts w:eastAsia="Calibri" w:cstheme="minorHAnsi"/>
        </w:rPr>
      </w:pPr>
    </w:p>
    <w:p w14:paraId="7608E2C7" w14:textId="77777777" w:rsidR="004052DE" w:rsidRDefault="004052DE" w:rsidP="008C63F0">
      <w:pPr>
        <w:jc w:val="both"/>
        <w:rPr>
          <w:rFonts w:eastAsia="Calibri" w:cstheme="minorHAnsi"/>
        </w:rPr>
      </w:pPr>
    </w:p>
    <w:p w14:paraId="1DE0E879" w14:textId="77777777" w:rsidR="004052DE" w:rsidRDefault="004052DE" w:rsidP="008C63F0">
      <w:pPr>
        <w:jc w:val="both"/>
        <w:rPr>
          <w:rFonts w:eastAsia="Calibri" w:cstheme="minorHAnsi"/>
        </w:rPr>
      </w:pPr>
    </w:p>
    <w:p w14:paraId="64320157" w14:textId="6A7ECF3B" w:rsidR="008C63F0" w:rsidRPr="00680020" w:rsidRDefault="008C63F0" w:rsidP="008C63F0">
      <w:pPr>
        <w:jc w:val="both"/>
        <w:rPr>
          <w:rFonts w:eastAsia="Calibri" w:cstheme="minorHAnsi"/>
        </w:rPr>
      </w:pPr>
      <w:r w:rsidRPr="00680020">
        <w:rPr>
          <w:rFonts w:eastAsia="Calibri" w:cstheme="minorHAnsi"/>
        </w:rPr>
        <w:t xml:space="preserve">ECPAT International has developed </w:t>
      </w:r>
      <w:hyperlink r:id="rId9" w:history="1">
        <w:r w:rsidRPr="00680020">
          <w:rPr>
            <w:rFonts w:eastAsia="Calibri" w:cstheme="minorHAnsi"/>
            <w:color w:val="0563C1"/>
            <w:u w:val="single"/>
          </w:rPr>
          <w:t>a legal checklist</w:t>
        </w:r>
      </w:hyperlink>
      <w:r w:rsidRPr="00680020">
        <w:rPr>
          <w:rFonts w:eastAsia="Calibri" w:cstheme="minorHAnsi"/>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6D6A5D24" w14:textId="5E3EE548" w:rsidR="008C63F0" w:rsidRPr="00680020" w:rsidRDefault="008C63F0" w:rsidP="008C63F0">
      <w:pPr>
        <w:jc w:val="both"/>
        <w:rPr>
          <w:rFonts w:eastAsia="Calibri" w:cstheme="minorHAnsi"/>
        </w:rPr>
      </w:pPr>
      <w:r w:rsidRPr="00680020">
        <w:rPr>
          <w:rFonts w:eastAsia="Calibri" w:cstheme="minorHAnsi"/>
        </w:rPr>
        <w:t xml:space="preserve">The legal checklist was developed based on the recommendations of the first </w:t>
      </w:r>
      <w:hyperlink r:id="rId10" w:history="1">
        <w:r w:rsidRPr="00680020">
          <w:rPr>
            <w:rStyle w:val="Collegamentoipertestuale"/>
            <w:rFonts w:eastAsia="Calibri" w:cstheme="minorHAnsi"/>
          </w:rPr>
          <w:t>Global Study</w:t>
        </w:r>
      </w:hyperlink>
      <w:r w:rsidRPr="00680020">
        <w:rPr>
          <w:rFonts w:eastAsia="Calibri" w:cstheme="minorHAnsi"/>
        </w:rPr>
        <w:t xml:space="preserve"> on sexual exploitation of children in the context of travel and tourism. Following the development of this legal checklist, ECPAT International conducted country legal analysis for </w:t>
      </w:r>
      <w:r w:rsidR="00D93323">
        <w:rPr>
          <w:rFonts w:eastAsia="Calibri" w:cstheme="minorHAnsi"/>
        </w:rPr>
        <w:t>Bangladesh</w:t>
      </w:r>
      <w:r w:rsidRPr="00680020">
        <w:rPr>
          <w:rFonts w:eastAsia="Calibri" w:cstheme="minorHAnsi"/>
        </w:rPr>
        <w:t xml:space="preserve"> and other countries in </w:t>
      </w:r>
      <w:r w:rsidR="00DF78CF">
        <w:rPr>
          <w:rFonts w:eastAsia="Calibri" w:cstheme="minorHAnsi"/>
        </w:rPr>
        <w:t>Asia</w:t>
      </w:r>
      <w:r w:rsidRPr="00680020">
        <w:rPr>
          <w:rFonts w:eastAsia="Calibri" w:cstheme="minorHAnsi"/>
        </w:rPr>
        <w:t xml:space="preserve">, as well as </w:t>
      </w:r>
      <w:r w:rsidR="00DF78CF">
        <w:rPr>
          <w:rFonts w:eastAsia="Calibri" w:cstheme="minorHAnsi"/>
        </w:rPr>
        <w:t>Africa</w:t>
      </w:r>
      <w:r w:rsidRPr="00680020">
        <w:rPr>
          <w:rFonts w:eastAsia="Calibri" w:cstheme="minorHAnsi"/>
        </w:rPr>
        <w:t xml:space="preserve">, </w:t>
      </w:r>
      <w:r w:rsidR="00D93323">
        <w:rPr>
          <w:rFonts w:eastAsia="Calibri" w:cstheme="minorHAnsi"/>
        </w:rPr>
        <w:t xml:space="preserve">Southeast </w:t>
      </w:r>
      <w:r w:rsidRPr="00680020">
        <w:rPr>
          <w:rFonts w:eastAsia="Calibri" w:cstheme="minorHAnsi"/>
        </w:rPr>
        <w:t xml:space="preserve">Asia and the Americas. </w:t>
      </w:r>
    </w:p>
    <w:p w14:paraId="2484158E" w14:textId="77777777" w:rsidR="008C63F0" w:rsidRPr="00680020" w:rsidRDefault="008C63F0" w:rsidP="008C63F0">
      <w:pPr>
        <w:jc w:val="both"/>
        <w:rPr>
          <w:rFonts w:eastAsia="Calibri" w:cstheme="minorHAnsi"/>
        </w:rPr>
      </w:pPr>
      <w:r w:rsidRPr="00680020">
        <w:rPr>
          <w:rFonts w:eastAsia="Calibri" w:cstheme="minorHAnsi"/>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7A3BBC94" w14:textId="77777777" w:rsidR="008C63F0" w:rsidRPr="00680020" w:rsidRDefault="008C63F0" w:rsidP="008C63F0">
      <w:pPr>
        <w:spacing w:line="240" w:lineRule="auto"/>
        <w:jc w:val="both"/>
        <w:rPr>
          <w:rFonts w:eastAsia="Calibri" w:cstheme="minorHAnsi"/>
        </w:rPr>
      </w:pPr>
      <w:r w:rsidRPr="00680020">
        <w:rPr>
          <w:rFonts w:eastAsia="Calibri" w:cstheme="minorHAnsi"/>
        </w:rPr>
        <w:t xml:space="preserve">The table below allows easy assessment of existing legislation against the 24 measures of the legal checklist. It will be updated as the laws and policies change. An </w:t>
      </w:r>
      <w:hyperlink r:id="rId11" w:history="1">
        <w:r w:rsidRPr="00680020">
          <w:rPr>
            <w:rFonts w:eastAsia="Calibri" w:cstheme="minorHAnsi"/>
            <w:color w:val="0563C1"/>
            <w:u w:val="single"/>
          </w:rPr>
          <w:t>explanatory note</w:t>
        </w:r>
      </w:hyperlink>
      <w:r w:rsidRPr="00680020">
        <w:rPr>
          <w:rFonts w:eastAsia="Calibri" w:cstheme="minorHAnsi"/>
        </w:rPr>
        <w:t xml:space="preserve"> and an </w:t>
      </w:r>
      <w:hyperlink r:id="rId12" w:history="1">
        <w:r w:rsidRPr="00680020">
          <w:rPr>
            <w:rFonts w:eastAsia="Calibri" w:cstheme="minorHAnsi"/>
            <w:color w:val="0563C1"/>
            <w:u w:val="single"/>
          </w:rPr>
          <w:t>assessment matrix</w:t>
        </w:r>
      </w:hyperlink>
      <w:r w:rsidRPr="00680020">
        <w:rPr>
          <w:rFonts w:eastAsia="Calibri" w:cstheme="minorHAnsi"/>
        </w:rPr>
        <w:t xml:space="preserve"> can be consulted for further reference.</w:t>
      </w:r>
    </w:p>
    <w:p w14:paraId="60BE6B5B" w14:textId="77777777" w:rsidR="008C63F0" w:rsidRPr="00680020" w:rsidRDefault="008C63F0" w:rsidP="008C63F0">
      <w:pPr>
        <w:rPr>
          <w:rFonts w:cstheme="minorHAnsi"/>
        </w:rPr>
      </w:pPr>
    </w:p>
    <w:tbl>
      <w:tblPr>
        <w:tblStyle w:val="Grigliatabella"/>
        <w:tblW w:w="14175" w:type="dxa"/>
        <w:tblInd w:w="-572" w:type="dxa"/>
        <w:tblLayout w:type="fixed"/>
        <w:tblLook w:val="0600" w:firstRow="0" w:lastRow="0" w:firstColumn="0" w:lastColumn="0" w:noHBand="1" w:noVBand="1"/>
      </w:tblPr>
      <w:tblGrid>
        <w:gridCol w:w="425"/>
        <w:gridCol w:w="5529"/>
        <w:gridCol w:w="1701"/>
        <w:gridCol w:w="6520"/>
      </w:tblGrid>
      <w:tr w:rsidR="00A21390" w:rsidRPr="00680020" w14:paraId="415AEFF0" w14:textId="77777777" w:rsidTr="00A21390">
        <w:trPr>
          <w:trHeight w:val="460"/>
        </w:trPr>
        <w:tc>
          <w:tcPr>
            <w:tcW w:w="425" w:type="dxa"/>
          </w:tcPr>
          <w:p w14:paraId="1C105EC0" w14:textId="77777777" w:rsidR="00A21390" w:rsidRPr="00680020" w:rsidRDefault="00A21390" w:rsidP="00C33EAA">
            <w:pPr>
              <w:spacing w:after="160"/>
              <w:rPr>
                <w:rFonts w:cstheme="minorHAnsi"/>
                <w:b/>
                <w:bCs/>
                <w:lang w:val="en-GB"/>
              </w:rPr>
            </w:pPr>
          </w:p>
        </w:tc>
        <w:tc>
          <w:tcPr>
            <w:tcW w:w="5529" w:type="dxa"/>
          </w:tcPr>
          <w:p w14:paraId="3B0FBFD2" w14:textId="77777777" w:rsidR="00A21390" w:rsidRPr="00680020" w:rsidRDefault="00A21390" w:rsidP="00C33EAA">
            <w:pPr>
              <w:spacing w:after="160"/>
              <w:rPr>
                <w:rFonts w:cstheme="minorHAnsi"/>
                <w:b/>
                <w:bCs/>
                <w:lang w:val="en-GB"/>
              </w:rPr>
            </w:pPr>
            <w:r w:rsidRPr="00680020">
              <w:rPr>
                <w:rFonts w:cstheme="minorHAnsi"/>
                <w:b/>
                <w:bCs/>
                <w:lang w:val="en-GB"/>
              </w:rPr>
              <w:t>Recommendations</w:t>
            </w:r>
          </w:p>
        </w:tc>
        <w:tc>
          <w:tcPr>
            <w:tcW w:w="1701" w:type="dxa"/>
          </w:tcPr>
          <w:p w14:paraId="663EAD7C" w14:textId="77777777" w:rsidR="00A21390" w:rsidRPr="00680020" w:rsidRDefault="00A21390" w:rsidP="00C33EAA">
            <w:pPr>
              <w:rPr>
                <w:rFonts w:cstheme="minorHAnsi"/>
                <w:b/>
                <w:bCs/>
                <w:lang w:val="en-GB"/>
              </w:rPr>
            </w:pPr>
            <w:r w:rsidRPr="00680020">
              <w:rPr>
                <w:rFonts w:cstheme="minorHAnsi"/>
                <w:b/>
                <w:bCs/>
                <w:lang w:val="en-GB"/>
              </w:rPr>
              <w:t>Implemented</w:t>
            </w:r>
          </w:p>
        </w:tc>
        <w:tc>
          <w:tcPr>
            <w:tcW w:w="6520" w:type="dxa"/>
          </w:tcPr>
          <w:p w14:paraId="0D9251DB" w14:textId="77777777" w:rsidR="00A21390" w:rsidRPr="00680020" w:rsidRDefault="00A21390" w:rsidP="00C33EAA">
            <w:pPr>
              <w:rPr>
                <w:rFonts w:cstheme="minorHAnsi"/>
                <w:b/>
                <w:bCs/>
                <w:lang w:val="en-GB"/>
              </w:rPr>
            </w:pPr>
            <w:r w:rsidRPr="00680020">
              <w:rPr>
                <w:rFonts w:cstheme="minorHAnsi"/>
                <w:b/>
                <w:bCs/>
                <w:lang w:val="en-GB"/>
              </w:rPr>
              <w:t>Legislation</w:t>
            </w:r>
          </w:p>
        </w:tc>
      </w:tr>
      <w:tr w:rsidR="00A21390" w:rsidRPr="00680020" w14:paraId="32F94587" w14:textId="77777777" w:rsidTr="00A21390">
        <w:trPr>
          <w:trHeight w:val="1740"/>
        </w:trPr>
        <w:tc>
          <w:tcPr>
            <w:tcW w:w="425" w:type="dxa"/>
          </w:tcPr>
          <w:p w14:paraId="58B39890" w14:textId="77777777" w:rsidR="00A21390" w:rsidRPr="00680020" w:rsidRDefault="00A21390" w:rsidP="00C33EAA">
            <w:pPr>
              <w:pStyle w:val="Paragrafoelenco"/>
              <w:numPr>
                <w:ilvl w:val="0"/>
                <w:numId w:val="2"/>
              </w:numPr>
              <w:spacing w:after="160" w:line="240" w:lineRule="auto"/>
              <w:rPr>
                <w:rFonts w:asciiTheme="minorHAnsi" w:hAnsiTheme="minorHAnsi" w:cstheme="minorHAnsi"/>
                <w:lang w:val="en-GB"/>
              </w:rPr>
            </w:pPr>
          </w:p>
        </w:tc>
        <w:tc>
          <w:tcPr>
            <w:tcW w:w="5529" w:type="dxa"/>
          </w:tcPr>
          <w:p w14:paraId="7CF0A600" w14:textId="77777777" w:rsidR="00A21390" w:rsidRPr="00680020" w:rsidRDefault="00A21390" w:rsidP="00C33EAA">
            <w:pPr>
              <w:spacing w:after="160"/>
              <w:rPr>
                <w:rFonts w:cstheme="minorHAnsi"/>
                <w:lang w:val="en-GB"/>
              </w:rPr>
            </w:pPr>
            <w:r w:rsidRPr="00680020">
              <w:rPr>
                <w:rFonts w:eastAsia="Calibri" w:cstheme="minorHAnsi"/>
              </w:rPr>
              <w:t xml:space="preserve">Establish by law </w:t>
            </w:r>
            <w:r w:rsidRPr="00680020">
              <w:rPr>
                <w:rFonts w:eastAsia="Calibri" w:cstheme="minorHAnsi"/>
                <w:b/>
              </w:rPr>
              <w:t>extra-territorial jurisdiction</w:t>
            </w:r>
            <w:r w:rsidRPr="00680020">
              <w:rPr>
                <w:rFonts w:eastAsia="Calibri" w:cstheme="minorHAnsi"/>
              </w:rPr>
              <w:t>, within the parameters of Article 4 OPSC, for all offences of sexual exploitation of children, including those occurring in the online environment.</w:t>
            </w:r>
          </w:p>
        </w:tc>
        <w:tc>
          <w:tcPr>
            <w:tcW w:w="1701" w:type="dxa"/>
          </w:tcPr>
          <w:p w14:paraId="371D3819" w14:textId="7177F688" w:rsidR="00A21390" w:rsidRPr="00A20A79" w:rsidRDefault="00D93323" w:rsidP="00C33EAA">
            <w:pPr>
              <w:rPr>
                <w:rFonts w:cstheme="minorHAnsi"/>
                <w:bCs/>
                <w:color w:val="000000" w:themeColor="text1"/>
                <w:lang w:val="en-GB"/>
              </w:rPr>
            </w:pPr>
            <w:r>
              <w:rPr>
                <w:rFonts w:cstheme="minorHAnsi"/>
                <w:bCs/>
                <w:color w:val="000000" w:themeColor="text1"/>
                <w:lang w:val="en-GB"/>
              </w:rPr>
              <w:t>Partially</w:t>
            </w:r>
          </w:p>
        </w:tc>
        <w:tc>
          <w:tcPr>
            <w:tcW w:w="6520" w:type="dxa"/>
          </w:tcPr>
          <w:p w14:paraId="207AC878" w14:textId="77777777" w:rsidR="00D93323" w:rsidRPr="00B538C0" w:rsidRDefault="00D93323" w:rsidP="00D93323">
            <w:pPr>
              <w:jc w:val="both"/>
              <w:rPr>
                <w:rFonts w:ascii="Calibri" w:hAnsi="Calibri" w:cs="Calibri"/>
                <w:i/>
                <w:lang w:val="en-GB"/>
              </w:rPr>
            </w:pPr>
            <w:r w:rsidRPr="00B538C0">
              <w:rPr>
                <w:rFonts w:ascii="Calibri" w:hAnsi="Calibri" w:cs="Calibri"/>
                <w:lang w:val="en-GB"/>
              </w:rPr>
              <w:t xml:space="preserve">Bangladesh does not have any extra-territorial jurisdiction specific to offences of sexual exploitation of children (SEC). </w:t>
            </w:r>
            <w:r w:rsidRPr="00FB43B3">
              <w:rPr>
                <w:rFonts w:ascii="Calibri" w:hAnsi="Calibri" w:cs="Calibri"/>
                <w:shd w:val="clear" w:color="auto" w:fill="FFFFFF"/>
              </w:rPr>
              <w:t>Section 188 of the Code of Criminal Procedure 1898</w:t>
            </w:r>
            <w:r>
              <w:rPr>
                <w:rFonts w:ascii="Calibri" w:hAnsi="Calibri" w:cs="Calibri"/>
                <w:shd w:val="clear" w:color="auto" w:fill="FFFFFF"/>
              </w:rPr>
              <w:t xml:space="preserve"> (CrPC) establishes extra-territorial jurisdiction </w:t>
            </w:r>
            <w:r>
              <w:rPr>
                <w:rFonts w:ascii="Calibri" w:hAnsi="Calibri" w:cs="Calibri"/>
                <w:lang w:val="en-GB"/>
              </w:rPr>
              <w:t>for all offences punishable by the Bangladeshi laws in general. Accordingly,</w:t>
            </w:r>
            <w:r w:rsidRPr="00FB43B3">
              <w:rPr>
                <w:rFonts w:ascii="Calibri" w:hAnsi="Calibri" w:cs="Calibri"/>
                <w:shd w:val="clear" w:color="auto" w:fill="FFFFFF"/>
              </w:rPr>
              <w:t xml:space="preserve"> “When a citizen of Bangladesh commits an offence at any place without and beyond the limits of Bangladesh, or</w:t>
            </w:r>
            <w:r w:rsidRPr="00FB43B3">
              <w:rPr>
                <w:rFonts w:ascii="Calibri" w:eastAsia="Times New Roman" w:hAnsi="Calibri" w:cs="Calibri"/>
                <w:sz w:val="24"/>
                <w:szCs w:val="24"/>
                <w:lang w:val="en-IN"/>
              </w:rPr>
              <w:t xml:space="preserve"> </w:t>
            </w:r>
            <w:r w:rsidRPr="00FB43B3">
              <w:rPr>
                <w:rFonts w:ascii="Calibri" w:hAnsi="Calibri" w:cs="Calibri"/>
                <w:shd w:val="clear" w:color="auto" w:fill="FFFFFF"/>
              </w:rPr>
              <w:t xml:space="preserve">When any person commits an offence on any ship or aircraft registered in Bangladesh wherever it may be, he may be dealt with in respect of </w:t>
            </w:r>
            <w:r w:rsidRPr="00FB43B3">
              <w:rPr>
                <w:rFonts w:ascii="Calibri" w:hAnsi="Calibri" w:cs="Calibri"/>
                <w:shd w:val="clear" w:color="auto" w:fill="FFFFFF"/>
              </w:rPr>
              <w:lastRenderedPageBreak/>
              <w:t xml:space="preserve">such offence as if it had been committed at any place within Bangladesh at which he may be found”. </w:t>
            </w:r>
            <w:r>
              <w:rPr>
                <w:rFonts w:ascii="Calibri" w:hAnsi="Calibri" w:cs="Calibri"/>
                <w:shd w:val="clear" w:color="auto" w:fill="FFFFFF"/>
              </w:rPr>
              <w:t xml:space="preserve">Therefore, the CrPC applies active national principle to extraterritorial jurisdiction. Similar provisions are contained in Section 4 of the Penal Code of Bangladesh, 1860. </w:t>
            </w:r>
          </w:p>
          <w:p w14:paraId="216968D4" w14:textId="77777777" w:rsidR="00D93323" w:rsidRDefault="00D93323" w:rsidP="00D93323">
            <w:pPr>
              <w:jc w:val="both"/>
              <w:rPr>
                <w:rFonts w:ascii="Calibri" w:hAnsi="Calibri" w:cs="Calibri"/>
              </w:rPr>
            </w:pPr>
            <w:r>
              <w:rPr>
                <w:rFonts w:ascii="Calibri" w:hAnsi="Calibri" w:cs="Calibri"/>
              </w:rPr>
              <w:t xml:space="preserve">Neither CrPC nor the Penal Code cover cases where offences, including those related to SEC, are committed by habitual residents of Bangladesh or against Bangladeshi nationals, as required by Article 4 OPSC. </w:t>
            </w:r>
          </w:p>
          <w:p w14:paraId="06E5A50B" w14:textId="63E7608F" w:rsidR="00A21390" w:rsidRPr="00680020" w:rsidRDefault="00D93323" w:rsidP="00D93323">
            <w:pPr>
              <w:rPr>
                <w:rFonts w:cstheme="minorHAnsi"/>
                <w:lang w:val="en-GB"/>
              </w:rPr>
            </w:pPr>
            <w:r>
              <w:rPr>
                <w:rFonts w:ascii="Calibri" w:hAnsi="Calibri" w:cs="Calibri"/>
                <w:lang w:val="en-GB"/>
              </w:rPr>
              <w:t>Besides</w:t>
            </w:r>
            <w:r w:rsidRPr="005B5EE4">
              <w:rPr>
                <w:rFonts w:ascii="Calibri" w:hAnsi="Calibri" w:cs="Calibri"/>
                <w:lang w:val="en-GB"/>
              </w:rPr>
              <w:t xml:space="preserve">, </w:t>
            </w:r>
            <w:r w:rsidRPr="004B4147">
              <w:rPr>
                <w:rFonts w:ascii="Calibri" w:hAnsi="Calibri" w:cs="Calibri"/>
              </w:rPr>
              <w:t>Section 5</w:t>
            </w:r>
            <w:r>
              <w:rPr>
                <w:rFonts w:ascii="Calibri" w:hAnsi="Calibri" w:cs="Calibri"/>
              </w:rPr>
              <w:t>(1)</w:t>
            </w:r>
            <w:r w:rsidRPr="004B4147">
              <w:rPr>
                <w:rFonts w:ascii="Calibri" w:hAnsi="Calibri" w:cs="Calibri"/>
              </w:rPr>
              <w:t xml:space="preserve"> of the Prevention and Suppression of Human Trafficking Act, 2012, (hereinafter called P</w:t>
            </w:r>
            <w:r>
              <w:rPr>
                <w:rFonts w:ascii="Calibri" w:hAnsi="Calibri" w:cs="Calibri"/>
              </w:rPr>
              <w:t>A</w:t>
            </w:r>
            <w:r w:rsidRPr="004B4147">
              <w:rPr>
                <w:rFonts w:ascii="Calibri" w:hAnsi="Calibri" w:cs="Calibri"/>
              </w:rPr>
              <w:t xml:space="preserve">SHTA), </w:t>
            </w:r>
            <w:r>
              <w:rPr>
                <w:rFonts w:ascii="Calibri" w:hAnsi="Calibri" w:cs="Calibri"/>
              </w:rPr>
              <w:t xml:space="preserve">provides for the extraterritorial application of the Act over offences relating to trafficking. </w:t>
            </w:r>
            <w:r w:rsidRPr="004B4147">
              <w:rPr>
                <w:rFonts w:ascii="Calibri" w:hAnsi="Calibri" w:cs="Calibri"/>
              </w:rPr>
              <w:t xml:space="preserve"> </w:t>
            </w:r>
            <w:r>
              <w:rPr>
                <w:rFonts w:ascii="Calibri" w:hAnsi="Calibri" w:cs="Calibri"/>
              </w:rPr>
              <w:t xml:space="preserve">Accordingly, </w:t>
            </w:r>
            <w:r w:rsidRPr="000571DB">
              <w:rPr>
                <w:rFonts w:ascii="Calibri" w:hAnsi="Calibri" w:cs="Calibri"/>
              </w:rPr>
              <w:t>“If any offence under this Act is committed by any person against a Bangladeshi national outside the territory of Bangladesh or on board in aircraft or ship, the provisions of this Act shall be applicable”</w:t>
            </w:r>
            <w:r>
              <w:rPr>
                <w:rFonts w:ascii="Calibri" w:hAnsi="Calibri" w:cs="Calibri"/>
              </w:rPr>
              <w:t xml:space="preserve">. The Act establishes extraterritorial jurisdiction based on both active and passive nationality principle. Hence, PASHTA is more in line with Article 4 of OPSC but it only covers trafficking related offences.  </w:t>
            </w:r>
          </w:p>
        </w:tc>
      </w:tr>
      <w:tr w:rsidR="00A21390" w:rsidRPr="00680020" w14:paraId="022EBF10" w14:textId="77777777" w:rsidTr="00A21390">
        <w:trPr>
          <w:trHeight w:val="1740"/>
        </w:trPr>
        <w:tc>
          <w:tcPr>
            <w:tcW w:w="425" w:type="dxa"/>
          </w:tcPr>
          <w:p w14:paraId="1FED1E2B" w14:textId="77777777" w:rsidR="00A21390" w:rsidRPr="00680020" w:rsidRDefault="00A21390" w:rsidP="00C33EAA">
            <w:pPr>
              <w:pStyle w:val="Paragrafoelenco"/>
              <w:numPr>
                <w:ilvl w:val="0"/>
                <w:numId w:val="2"/>
              </w:numPr>
              <w:spacing w:after="160" w:line="240" w:lineRule="auto"/>
              <w:rPr>
                <w:rFonts w:asciiTheme="minorHAnsi" w:hAnsiTheme="minorHAnsi" w:cstheme="minorHAnsi"/>
                <w:lang w:val="en-GB"/>
              </w:rPr>
            </w:pPr>
          </w:p>
        </w:tc>
        <w:tc>
          <w:tcPr>
            <w:tcW w:w="5529" w:type="dxa"/>
          </w:tcPr>
          <w:p w14:paraId="66AB0E18" w14:textId="77777777" w:rsidR="00A21390" w:rsidRPr="00680020" w:rsidRDefault="00A21390" w:rsidP="00C33EAA">
            <w:pPr>
              <w:spacing w:after="160"/>
              <w:rPr>
                <w:rFonts w:cstheme="minorHAnsi"/>
                <w:lang w:val="en-GB"/>
              </w:rPr>
            </w:pPr>
            <w:r w:rsidRPr="00680020">
              <w:rPr>
                <w:rFonts w:eastAsia="Calibri" w:cstheme="minorHAnsi"/>
              </w:rPr>
              <w:t xml:space="preserve">Include in extradition treaties the sexual exploitation of children as </w:t>
            </w:r>
            <w:r w:rsidRPr="00680020">
              <w:rPr>
                <w:rFonts w:eastAsia="Calibri" w:cstheme="minorHAnsi"/>
                <w:b/>
              </w:rPr>
              <w:t>extraditable offences</w:t>
            </w:r>
            <w:r w:rsidRPr="00680020">
              <w:rPr>
                <w:rFonts w:eastAsia="Calibri" w:cstheme="minorHAnsi"/>
              </w:rPr>
              <w:t xml:space="preserve"> and apply when appropriate the rules of article 5 OPSC,  regardless the nationality of the (alleged) offender.</w:t>
            </w:r>
          </w:p>
        </w:tc>
        <w:tc>
          <w:tcPr>
            <w:tcW w:w="1701" w:type="dxa"/>
          </w:tcPr>
          <w:p w14:paraId="4B488A95" w14:textId="77777777" w:rsidR="00A21390" w:rsidRPr="00A20A79" w:rsidDel="009C2987"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43CB6A2C" w14:textId="77777777" w:rsidR="00D93323" w:rsidRDefault="00D93323" w:rsidP="00D93323">
            <w:pPr>
              <w:jc w:val="both"/>
              <w:rPr>
                <w:rFonts w:ascii="Calibri" w:eastAsia="Times New Roman" w:hAnsi="Calibri" w:cs="Calibri"/>
                <w:shd w:val="clear" w:color="auto" w:fill="FFFFFF"/>
                <w:lang w:val="en-IN" w:eastAsia="en-IN"/>
              </w:rPr>
            </w:pPr>
            <w:r>
              <w:rPr>
                <w:rFonts w:ascii="Calibri" w:eastAsia="Times New Roman" w:hAnsi="Calibri" w:cs="Calibri"/>
                <w:shd w:val="clear" w:color="auto" w:fill="FFFFFF"/>
                <w:lang w:val="en-IN" w:eastAsia="en-IN"/>
              </w:rPr>
              <w:t xml:space="preserve">Under the national legislation, the scope of extradition with respect to SEC offences is quite limited. </w:t>
            </w:r>
          </w:p>
          <w:p w14:paraId="6DB4E908" w14:textId="77777777" w:rsidR="00D93323" w:rsidRPr="0011068A" w:rsidRDefault="00D93323" w:rsidP="00D93323">
            <w:pPr>
              <w:jc w:val="both"/>
              <w:rPr>
                <w:rFonts w:ascii="Calibri" w:eastAsia="Times New Roman" w:hAnsi="Calibri" w:cs="Calibri"/>
                <w:lang w:val="en-IN" w:eastAsia="en-IN"/>
              </w:rPr>
            </w:pPr>
            <w:r>
              <w:rPr>
                <w:rFonts w:ascii="Calibri" w:eastAsia="Times New Roman" w:hAnsi="Calibri" w:cs="Calibri"/>
                <w:shd w:val="clear" w:color="auto" w:fill="FFFFFF"/>
                <w:lang w:val="en-IN" w:eastAsia="en-IN"/>
              </w:rPr>
              <w:t xml:space="preserve">According to Section </w:t>
            </w:r>
            <w:r w:rsidRPr="00302FE2">
              <w:rPr>
                <w:rFonts w:ascii="Calibri" w:eastAsia="Times New Roman" w:hAnsi="Calibri" w:cs="Calibri"/>
                <w:shd w:val="clear" w:color="auto" w:fill="FFFFFF"/>
                <w:lang w:val="en-IN" w:eastAsia="en-IN"/>
              </w:rPr>
              <w:t>2(1)</w:t>
            </w:r>
            <w:r>
              <w:rPr>
                <w:rFonts w:ascii="Calibri" w:eastAsia="Times New Roman" w:hAnsi="Calibri" w:cs="Calibri"/>
                <w:shd w:val="clear" w:color="auto" w:fill="FFFFFF"/>
                <w:lang w:val="en-IN" w:eastAsia="en-IN"/>
              </w:rPr>
              <w:t>(a) of the Extradition Act, 1974, an</w:t>
            </w:r>
            <w:r w:rsidRPr="00302FE2">
              <w:rPr>
                <w:rFonts w:ascii="Calibri" w:eastAsia="Times New Roman" w:hAnsi="Calibri" w:cs="Calibri"/>
                <w:shd w:val="clear" w:color="auto" w:fill="FFFFFF"/>
                <w:lang w:val="en-IN" w:eastAsia="en-IN"/>
              </w:rPr>
              <w:t xml:space="preserve"> “extradition offence” means </w:t>
            </w:r>
            <w:r>
              <w:rPr>
                <w:rFonts w:ascii="Calibri" w:eastAsia="Times New Roman" w:hAnsi="Calibri" w:cs="Calibri"/>
                <w:shd w:val="clear" w:color="auto" w:fill="FFFFFF"/>
                <w:lang w:val="en-IN" w:eastAsia="en-IN"/>
              </w:rPr>
              <w:t>“</w:t>
            </w:r>
            <w:r w:rsidRPr="00302FE2">
              <w:rPr>
                <w:rFonts w:ascii="Calibri" w:eastAsia="Times New Roman" w:hAnsi="Calibri" w:cs="Calibri"/>
                <w:shd w:val="clear" w:color="auto" w:fill="FFFFFF"/>
                <w:lang w:val="en-IN" w:eastAsia="en-IN"/>
              </w:rPr>
              <w:t>an offence the act or omission constituting which falls within any of the descriptions set out in the Schedule and, if it took place within, or within the jurisdiction of, Bangladesh would constitute an offence against the law of Bangladesh and also-</w:t>
            </w:r>
            <w:r>
              <w:rPr>
                <w:rFonts w:ascii="Calibri" w:eastAsia="Times New Roman" w:hAnsi="Calibri" w:cs="Calibri"/>
                <w:lang w:val="en-IN" w:eastAsia="en-IN"/>
              </w:rPr>
              <w:t xml:space="preserve"> (i) </w:t>
            </w:r>
            <w:r w:rsidRPr="0011068A">
              <w:rPr>
                <w:rFonts w:ascii="Calibri" w:eastAsia="Times New Roman" w:hAnsi="Calibri" w:cs="Calibri"/>
                <w:shd w:val="clear" w:color="auto" w:fill="FFFFFF"/>
                <w:lang w:val="en-IN" w:eastAsia="en-IN"/>
              </w:rPr>
              <w:t>in the case of a treaty State, an offence a person accused of which is, under the extradition treaty with that State, to be returned to or from that State; and (ii) in the case of a foreign State not being a treaty State, an offence specified in a direction issued under section 4.”</w:t>
            </w:r>
            <w:r>
              <w:rPr>
                <w:rFonts w:ascii="Calibri" w:eastAsia="Times New Roman" w:hAnsi="Calibri" w:cs="Calibri"/>
                <w:shd w:val="clear" w:color="auto" w:fill="FFFFFF"/>
                <w:lang w:val="en-IN" w:eastAsia="en-IN"/>
              </w:rPr>
              <w:t xml:space="preserve"> It appears that the Act does not cover SEC offences as these are not in the Schedule.</w:t>
            </w:r>
          </w:p>
          <w:p w14:paraId="5657D261" w14:textId="505CC9F2" w:rsidR="00A21390" w:rsidRPr="00680020" w:rsidRDefault="00D93323" w:rsidP="00D93323">
            <w:pPr>
              <w:rPr>
                <w:rFonts w:cstheme="minorHAnsi"/>
                <w:lang w:val="en-GB"/>
              </w:rPr>
            </w:pPr>
            <w:r>
              <w:rPr>
                <w:rFonts w:ascii="Calibri" w:hAnsi="Calibri" w:cs="Calibri"/>
              </w:rPr>
              <w:t xml:space="preserve">Notwithstanding, </w:t>
            </w:r>
            <w:r w:rsidRPr="00B14405">
              <w:rPr>
                <w:rFonts w:ascii="Calibri" w:hAnsi="Calibri" w:cs="Calibri"/>
              </w:rPr>
              <w:t>Section 4(4) of PASHTA makes offences under the Act extraditable in accordance with Section 2(1)(a) of the Extradition Act, 1974.</w:t>
            </w:r>
          </w:p>
        </w:tc>
      </w:tr>
      <w:tr w:rsidR="00A21390" w:rsidRPr="00680020" w14:paraId="7F94967F" w14:textId="77777777" w:rsidTr="00A21390">
        <w:trPr>
          <w:trHeight w:val="920"/>
        </w:trPr>
        <w:tc>
          <w:tcPr>
            <w:tcW w:w="425" w:type="dxa"/>
          </w:tcPr>
          <w:p w14:paraId="56648AE6" w14:textId="77777777" w:rsidR="00A21390" w:rsidRPr="00680020" w:rsidRDefault="00A21390" w:rsidP="00C33EAA">
            <w:pPr>
              <w:pStyle w:val="Paragrafoelenco"/>
              <w:numPr>
                <w:ilvl w:val="0"/>
                <w:numId w:val="2"/>
              </w:numPr>
              <w:spacing w:after="160" w:line="240" w:lineRule="auto"/>
              <w:rPr>
                <w:rFonts w:asciiTheme="minorHAnsi" w:hAnsiTheme="minorHAnsi" w:cstheme="minorHAnsi"/>
                <w:lang w:val="en-GB"/>
              </w:rPr>
            </w:pPr>
          </w:p>
        </w:tc>
        <w:tc>
          <w:tcPr>
            <w:tcW w:w="5529" w:type="dxa"/>
          </w:tcPr>
          <w:p w14:paraId="6A317B56" w14:textId="77777777" w:rsidR="00A21390" w:rsidRPr="00680020" w:rsidRDefault="00A21390" w:rsidP="00C33EAA">
            <w:pPr>
              <w:spacing w:after="160"/>
              <w:rPr>
                <w:rFonts w:cstheme="minorHAnsi"/>
                <w:lang w:val="en-GB"/>
              </w:rPr>
            </w:pPr>
            <w:r w:rsidRPr="00680020">
              <w:rPr>
                <w:rFonts w:eastAsia="Calibri" w:cstheme="minorHAnsi"/>
              </w:rPr>
              <w:t xml:space="preserve">Do NOT require the principle of </w:t>
            </w:r>
            <w:r w:rsidRPr="00680020">
              <w:rPr>
                <w:rFonts w:eastAsia="Calibri" w:cstheme="minorHAnsi"/>
                <w:b/>
              </w:rPr>
              <w:t>double criminality</w:t>
            </w:r>
            <w:r w:rsidRPr="00680020">
              <w:rPr>
                <w:rFonts w:eastAsia="Calibri" w:cstheme="minorHAnsi"/>
              </w:rPr>
              <w:t xml:space="preserve"> for proceeding with extraterritorial jurisdiction or extradition for sexual offences against children.</w:t>
            </w:r>
          </w:p>
        </w:tc>
        <w:tc>
          <w:tcPr>
            <w:tcW w:w="1701" w:type="dxa"/>
          </w:tcPr>
          <w:p w14:paraId="075584A9" w14:textId="4BE64F71" w:rsidR="00A21390" w:rsidRPr="00A20A79" w:rsidRDefault="00D93323"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76CF08E1" w14:textId="05E1FDD4" w:rsidR="00A21390" w:rsidRPr="00680020" w:rsidRDefault="00D93323" w:rsidP="00C33EAA">
            <w:pPr>
              <w:rPr>
                <w:rFonts w:cstheme="minorHAnsi"/>
                <w:lang w:val="en-GB"/>
              </w:rPr>
            </w:pPr>
            <w:r>
              <w:rPr>
                <w:rFonts w:cstheme="minorHAnsi"/>
                <w:lang w:val="en-GB"/>
              </w:rPr>
              <w:t>Bangladesh does not incorporate the principle of double criminality into its legislation on extraterritoriality nor extradtion.</w:t>
            </w:r>
          </w:p>
        </w:tc>
      </w:tr>
      <w:tr w:rsidR="00A21390" w:rsidRPr="00680020" w14:paraId="6F0763EB" w14:textId="77777777" w:rsidTr="00A21390">
        <w:trPr>
          <w:trHeight w:val="20"/>
        </w:trPr>
        <w:tc>
          <w:tcPr>
            <w:tcW w:w="425" w:type="dxa"/>
          </w:tcPr>
          <w:p w14:paraId="025E8299" w14:textId="77777777" w:rsidR="00A21390" w:rsidRPr="00680020" w:rsidRDefault="00A21390" w:rsidP="00C33EAA">
            <w:pPr>
              <w:pStyle w:val="Paragrafoelenco"/>
              <w:numPr>
                <w:ilvl w:val="0"/>
                <w:numId w:val="2"/>
              </w:numPr>
              <w:spacing w:after="160" w:line="240" w:lineRule="auto"/>
              <w:rPr>
                <w:rFonts w:asciiTheme="minorHAnsi" w:hAnsiTheme="minorHAnsi" w:cstheme="minorHAnsi"/>
                <w:lang w:val="en-GB"/>
              </w:rPr>
            </w:pPr>
          </w:p>
        </w:tc>
        <w:tc>
          <w:tcPr>
            <w:tcW w:w="5529" w:type="dxa"/>
          </w:tcPr>
          <w:p w14:paraId="7EC4CFD1" w14:textId="77777777" w:rsidR="00A21390" w:rsidRPr="00680020" w:rsidRDefault="00A21390" w:rsidP="00C33EAA">
            <w:pPr>
              <w:spacing w:after="160"/>
              <w:rPr>
                <w:rFonts w:cstheme="minorHAnsi"/>
                <w:lang w:val="en-GB"/>
              </w:rPr>
            </w:pPr>
            <w:r w:rsidRPr="00680020">
              <w:rPr>
                <w:rFonts w:eastAsia="Calibri" w:cstheme="minorHAnsi"/>
              </w:rPr>
              <w:t xml:space="preserve">Abolish </w:t>
            </w:r>
            <w:r w:rsidRPr="00680020">
              <w:rPr>
                <w:rFonts w:eastAsia="Calibri" w:cstheme="minorHAnsi"/>
                <w:b/>
              </w:rPr>
              <w:t>statutory limitations</w:t>
            </w:r>
            <w:r w:rsidRPr="00680020">
              <w:rPr>
                <w:rFonts w:eastAsia="Calibri" w:cstheme="minorHAnsi"/>
              </w:rPr>
              <w:t xml:space="preserve"> for the prosecution of ALL offences of sexual exploitation of children.</w:t>
            </w:r>
          </w:p>
        </w:tc>
        <w:tc>
          <w:tcPr>
            <w:tcW w:w="1701" w:type="dxa"/>
          </w:tcPr>
          <w:p w14:paraId="5F657385" w14:textId="7B26511F" w:rsidR="00A21390" w:rsidRPr="00A20A79" w:rsidRDefault="00D93323"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28768FDA" w14:textId="77777777" w:rsidR="00A21390" w:rsidRDefault="00D93323" w:rsidP="00C33EAA">
            <w:pPr>
              <w:rPr>
                <w:rFonts w:ascii="Calibri" w:hAnsi="Calibri" w:cs="Calibri"/>
                <w:shd w:val="clear" w:color="auto" w:fill="FFFFFF"/>
              </w:rPr>
            </w:pPr>
            <w:r>
              <w:rPr>
                <w:rFonts w:ascii="Calibri" w:hAnsi="Calibri" w:cs="Calibri"/>
                <w:shd w:val="clear" w:color="auto" w:fill="FFFFFF"/>
              </w:rPr>
              <w:t>It appears that the national legislation does not impose any statutory limitations for the prosecution of SEC offences.</w:t>
            </w:r>
          </w:p>
          <w:p w14:paraId="3835B781" w14:textId="77777777" w:rsidR="00D93323" w:rsidRDefault="00D93323" w:rsidP="00C33EAA">
            <w:pPr>
              <w:rPr>
                <w:rFonts w:ascii="Calibri" w:hAnsi="Calibri" w:cs="Calibri"/>
                <w:shd w:val="clear" w:color="auto" w:fill="FFFFFF"/>
              </w:rPr>
            </w:pPr>
          </w:p>
          <w:p w14:paraId="714494A5" w14:textId="3B80CECC" w:rsidR="00D93323" w:rsidRPr="00680020" w:rsidRDefault="00D93323" w:rsidP="00C33EAA">
            <w:pPr>
              <w:rPr>
                <w:rFonts w:cstheme="minorHAnsi"/>
                <w:lang w:val="en-GB"/>
              </w:rPr>
            </w:pPr>
            <w:r w:rsidRPr="002266D2">
              <w:rPr>
                <w:rFonts w:cstheme="minorHAnsi"/>
              </w:rPr>
              <w:t xml:space="preserve">However, </w:t>
            </w:r>
            <w:r>
              <w:rPr>
                <w:rFonts w:cstheme="minorHAnsi"/>
              </w:rPr>
              <w:t>for offences under the</w:t>
            </w:r>
            <w:r w:rsidRPr="002266D2">
              <w:rPr>
                <w:rFonts w:cstheme="minorHAnsi"/>
              </w:rPr>
              <w:t xml:space="preserve"> Child Marriage Restraint Act a limitation period of </w:t>
            </w:r>
            <w:r>
              <w:rPr>
                <w:rFonts w:cstheme="minorHAnsi"/>
              </w:rPr>
              <w:t>two</w:t>
            </w:r>
            <w:r w:rsidRPr="002266D2">
              <w:rPr>
                <w:rFonts w:cstheme="minorHAnsi"/>
              </w:rPr>
              <w:t xml:space="preserve"> years applies</w:t>
            </w:r>
          </w:p>
        </w:tc>
      </w:tr>
      <w:tr w:rsidR="00A21390" w:rsidRPr="00680020" w14:paraId="4F774369" w14:textId="77777777" w:rsidTr="00A21390">
        <w:trPr>
          <w:trHeight w:val="920"/>
        </w:trPr>
        <w:tc>
          <w:tcPr>
            <w:tcW w:w="425" w:type="dxa"/>
          </w:tcPr>
          <w:p w14:paraId="09911075" w14:textId="77777777" w:rsidR="00A21390" w:rsidRPr="00680020" w:rsidRDefault="00A21390" w:rsidP="00C33EAA">
            <w:pPr>
              <w:pStyle w:val="Paragrafoelenco"/>
              <w:numPr>
                <w:ilvl w:val="0"/>
                <w:numId w:val="2"/>
              </w:numPr>
              <w:spacing w:after="160" w:line="240" w:lineRule="auto"/>
              <w:rPr>
                <w:rFonts w:asciiTheme="minorHAnsi" w:hAnsiTheme="minorHAnsi" w:cstheme="minorHAnsi"/>
                <w:lang w:val="en-GB"/>
              </w:rPr>
            </w:pPr>
          </w:p>
        </w:tc>
        <w:tc>
          <w:tcPr>
            <w:tcW w:w="5529" w:type="dxa"/>
          </w:tcPr>
          <w:p w14:paraId="1D310324" w14:textId="77777777" w:rsidR="00A21390" w:rsidRPr="00680020" w:rsidRDefault="00A21390" w:rsidP="00C33EAA">
            <w:pPr>
              <w:spacing w:after="160"/>
              <w:rPr>
                <w:rFonts w:cstheme="minorHAnsi"/>
                <w:lang w:val="en-GB"/>
              </w:rPr>
            </w:pPr>
            <w:r w:rsidRPr="00680020">
              <w:rPr>
                <w:rFonts w:eastAsia="Calibri" w:cstheme="minorHAnsi"/>
              </w:rPr>
              <w:t xml:space="preserve">Set up </w:t>
            </w:r>
            <w:r w:rsidRPr="00680020">
              <w:rPr>
                <w:rFonts w:eastAsia="Calibri" w:cstheme="minorHAnsi"/>
                <w:b/>
              </w:rPr>
              <w:t xml:space="preserve">conditions for any travel </w:t>
            </w:r>
            <w:r w:rsidRPr="00680020">
              <w:rPr>
                <w:rFonts w:eastAsia="Calibri" w:cstheme="minorHAnsi"/>
              </w:rPr>
              <w:t>by persons convicted of sexual exploitation of children.</w:t>
            </w:r>
          </w:p>
        </w:tc>
        <w:tc>
          <w:tcPr>
            <w:tcW w:w="1701" w:type="dxa"/>
          </w:tcPr>
          <w:p w14:paraId="7C523D1D" w14:textId="2D4FEC05" w:rsidR="00A21390" w:rsidRPr="00A20A79" w:rsidRDefault="00D93323" w:rsidP="00C33EAA">
            <w:pPr>
              <w:rPr>
                <w:rFonts w:cstheme="minorHAnsi"/>
                <w:bCs/>
                <w:color w:val="000000" w:themeColor="text1"/>
                <w:lang w:val="en-GB"/>
              </w:rPr>
            </w:pPr>
            <w:r>
              <w:rPr>
                <w:rFonts w:cstheme="minorHAnsi"/>
                <w:bCs/>
                <w:color w:val="000000" w:themeColor="text1"/>
                <w:lang w:val="en-GB"/>
              </w:rPr>
              <w:t>No</w:t>
            </w:r>
          </w:p>
        </w:tc>
        <w:tc>
          <w:tcPr>
            <w:tcW w:w="6520" w:type="dxa"/>
          </w:tcPr>
          <w:p w14:paraId="02DC10A5" w14:textId="5E7EC91B" w:rsidR="00A21390" w:rsidRPr="00680020" w:rsidRDefault="00D93323" w:rsidP="00C33EAA">
            <w:pPr>
              <w:rPr>
                <w:rFonts w:cstheme="minorHAnsi"/>
                <w:lang w:val="en-GB"/>
              </w:rPr>
            </w:pPr>
            <w:r>
              <w:rPr>
                <w:rFonts w:ascii="Calibri" w:hAnsi="Calibri" w:cs="Calibri"/>
                <w:lang w:val="en-GB"/>
              </w:rPr>
              <w:t>The national legislation does not d</w:t>
            </w:r>
            <w:r w:rsidRPr="00436380">
              <w:rPr>
                <w:rFonts w:ascii="Calibri" w:hAnsi="Calibri" w:cs="Calibri"/>
                <w:lang w:val="en-GB"/>
              </w:rPr>
              <w:t xml:space="preserve">eny entry/leave of foreigners convicted of sexual exploitation of children or set </w:t>
            </w:r>
            <w:r w:rsidRPr="00145A70">
              <w:rPr>
                <w:rFonts w:ascii="Calibri" w:hAnsi="Calibri" w:cs="Calibri"/>
                <w:lang w:val="en-GB"/>
              </w:rPr>
              <w:t>up strict conditions for their travel</w:t>
            </w:r>
            <w:r>
              <w:rPr>
                <w:rFonts w:ascii="Calibri" w:hAnsi="Calibri" w:cs="Calibri"/>
                <w:lang w:val="en-GB"/>
              </w:rPr>
              <w:t>.</w:t>
            </w:r>
          </w:p>
        </w:tc>
      </w:tr>
      <w:tr w:rsidR="00A21390" w:rsidRPr="00680020" w14:paraId="66544A55" w14:textId="77777777" w:rsidTr="00A21390">
        <w:trPr>
          <w:trHeight w:val="432"/>
        </w:trPr>
        <w:tc>
          <w:tcPr>
            <w:tcW w:w="425" w:type="dxa"/>
          </w:tcPr>
          <w:p w14:paraId="2D61F933" w14:textId="77777777" w:rsidR="00A21390" w:rsidRPr="00680020" w:rsidRDefault="00A21390" w:rsidP="00C33EAA">
            <w:pPr>
              <w:pStyle w:val="Paragrafoelenco"/>
              <w:numPr>
                <w:ilvl w:val="0"/>
                <w:numId w:val="2"/>
              </w:numPr>
              <w:spacing w:after="160" w:line="240" w:lineRule="auto"/>
              <w:rPr>
                <w:rFonts w:asciiTheme="minorHAnsi" w:hAnsiTheme="minorHAnsi" w:cstheme="minorHAnsi"/>
                <w:lang w:val="en-GB"/>
              </w:rPr>
            </w:pPr>
          </w:p>
        </w:tc>
        <w:tc>
          <w:tcPr>
            <w:tcW w:w="5529" w:type="dxa"/>
          </w:tcPr>
          <w:p w14:paraId="22A1F325" w14:textId="77777777" w:rsidR="00A21390" w:rsidRPr="00680020" w:rsidRDefault="00A21390" w:rsidP="00C33EAA">
            <w:pPr>
              <w:spacing w:after="160"/>
              <w:rPr>
                <w:rFonts w:cstheme="minorHAnsi"/>
                <w:lang w:val="en-GB"/>
              </w:rPr>
            </w:pPr>
            <w:r w:rsidRPr="00680020">
              <w:rPr>
                <w:rFonts w:eastAsia="Calibri" w:cstheme="minorHAnsi"/>
              </w:rPr>
              <w:t xml:space="preserve">Ensure </w:t>
            </w:r>
            <w:r w:rsidRPr="00680020">
              <w:rPr>
                <w:rFonts w:eastAsia="Calibri" w:cstheme="minorHAnsi"/>
                <w:b/>
              </w:rPr>
              <w:t xml:space="preserve">consistency in the definition of a ‘child’ </w:t>
            </w:r>
            <w:r w:rsidRPr="00680020">
              <w:rPr>
                <w:rFonts w:eastAsia="Calibri" w:cstheme="minorHAnsi"/>
              </w:rPr>
              <w:t>as anyone under the age of 18 for all crimes of sexual exploitation, regardless of the age of sexual consent.</w:t>
            </w:r>
          </w:p>
        </w:tc>
        <w:tc>
          <w:tcPr>
            <w:tcW w:w="1701" w:type="dxa"/>
          </w:tcPr>
          <w:p w14:paraId="39F98F35"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Partially </w:t>
            </w:r>
          </w:p>
        </w:tc>
        <w:tc>
          <w:tcPr>
            <w:tcW w:w="6520" w:type="dxa"/>
          </w:tcPr>
          <w:p w14:paraId="5A107138" w14:textId="77777777" w:rsidR="00D93323" w:rsidRDefault="00D93323" w:rsidP="00D93323">
            <w:pPr>
              <w:spacing w:after="160"/>
              <w:jc w:val="both"/>
              <w:rPr>
                <w:rFonts w:ascii="Calibri" w:hAnsi="Calibri" w:cs="Calibri"/>
                <w:bCs/>
              </w:rPr>
            </w:pPr>
            <w:r>
              <w:rPr>
                <w:rFonts w:ascii="Calibri" w:hAnsi="Calibri" w:cs="Calibri"/>
                <w:bCs/>
              </w:rPr>
              <w:t xml:space="preserve">According to Section 4 of the Children Act of 2013, all persons up to the age of 18 years shall be regarded as children for the purposes of this Act. </w:t>
            </w:r>
            <w:r w:rsidRPr="00A30FB6">
              <w:rPr>
                <w:rFonts w:ascii="Calibri" w:hAnsi="Calibri" w:cs="Calibri"/>
                <w:bCs/>
              </w:rPr>
              <w:t xml:space="preserve">The </w:t>
            </w:r>
            <w:r w:rsidRPr="00A30FB6">
              <w:rPr>
                <w:rFonts w:ascii="Calibri" w:hAnsi="Calibri" w:cs="Calibri"/>
                <w:shd w:val="clear" w:color="auto" w:fill="FFFFFF"/>
              </w:rPr>
              <w:t>Pornography Control Act uses the same definition. [See Section 2(e)]</w:t>
            </w:r>
            <w:r>
              <w:rPr>
                <w:rFonts w:ascii="Calibri" w:hAnsi="Calibri" w:cs="Calibri"/>
                <w:shd w:val="clear" w:color="auto" w:fill="FFFFFF"/>
              </w:rPr>
              <w:t xml:space="preserve"> </w:t>
            </w:r>
          </w:p>
          <w:p w14:paraId="43D44E08" w14:textId="77777777" w:rsidR="00D93323" w:rsidRDefault="00D93323" w:rsidP="00D93323">
            <w:pPr>
              <w:spacing w:after="160"/>
              <w:jc w:val="both"/>
              <w:rPr>
                <w:rFonts w:ascii="Calibri" w:hAnsi="Calibri" w:cs="Calibri"/>
                <w:bCs/>
              </w:rPr>
            </w:pPr>
            <w:r>
              <w:rPr>
                <w:rFonts w:ascii="Calibri" w:hAnsi="Calibri" w:cs="Calibri"/>
                <w:bCs/>
              </w:rPr>
              <w:t xml:space="preserve">In addition, Section 2(14) of PASHTA and Section 2(2) define a ‘child’ as any person below the age of 18. </w:t>
            </w:r>
          </w:p>
          <w:p w14:paraId="7E0D7BD3" w14:textId="613C4B54" w:rsidR="00A21390" w:rsidRPr="00680020" w:rsidRDefault="00D93323" w:rsidP="00D93323">
            <w:pPr>
              <w:rPr>
                <w:rFonts w:cstheme="minorHAnsi"/>
                <w:lang w:val="en-GB"/>
              </w:rPr>
            </w:pPr>
            <w:r w:rsidRPr="00771C90">
              <w:rPr>
                <w:rFonts w:ascii="Calibri" w:hAnsi="Calibri" w:cs="Calibri"/>
                <w:bCs/>
              </w:rPr>
              <w:t xml:space="preserve">However, according to Section 2(k) of the </w:t>
            </w:r>
            <w:r w:rsidRPr="00771C90">
              <w:rPr>
                <w:rFonts w:ascii="Calibri" w:hAnsi="Calibri" w:cs="Calibri"/>
              </w:rPr>
              <w:t>Prevention of Oppression Against Women and Children Act 2000</w:t>
            </w:r>
            <w:r>
              <w:rPr>
                <w:rFonts w:ascii="Calibri" w:hAnsi="Calibri" w:cs="Calibri"/>
              </w:rPr>
              <w:t>, which covers some SEC-related offences,</w:t>
            </w:r>
            <w:r w:rsidRPr="00771C90">
              <w:rPr>
                <w:rFonts w:ascii="Calibri" w:hAnsi="Calibri" w:cs="Calibri"/>
                <w:bCs/>
              </w:rPr>
              <w:t xml:space="preserve"> defines a </w:t>
            </w:r>
            <w:r w:rsidRPr="00771C90">
              <w:rPr>
                <w:rFonts w:ascii="Calibri" w:hAnsi="Calibri" w:cs="Calibri"/>
              </w:rPr>
              <w:t>‘</w:t>
            </w:r>
            <w:r>
              <w:rPr>
                <w:rFonts w:ascii="Calibri" w:hAnsi="Calibri" w:cs="Calibri"/>
              </w:rPr>
              <w:t>c</w:t>
            </w:r>
            <w:r w:rsidRPr="00771C90">
              <w:rPr>
                <w:rFonts w:ascii="Calibri" w:hAnsi="Calibri" w:cs="Calibri"/>
              </w:rPr>
              <w:t>hild’ as “any person under fourteen years of age”.</w:t>
            </w:r>
          </w:p>
        </w:tc>
      </w:tr>
      <w:tr w:rsidR="00A21390" w:rsidRPr="00680020" w14:paraId="7B8065FB" w14:textId="77777777" w:rsidTr="00A21390">
        <w:trPr>
          <w:trHeight w:val="1040"/>
        </w:trPr>
        <w:tc>
          <w:tcPr>
            <w:tcW w:w="425" w:type="dxa"/>
          </w:tcPr>
          <w:p w14:paraId="4AB4824F" w14:textId="77777777" w:rsidR="00A21390" w:rsidRPr="00680020" w:rsidRDefault="00A21390" w:rsidP="00C33EAA">
            <w:pPr>
              <w:pStyle w:val="Paragrafoelenco"/>
              <w:numPr>
                <w:ilvl w:val="0"/>
                <w:numId w:val="2"/>
              </w:numPr>
              <w:spacing w:line="240" w:lineRule="auto"/>
              <w:rPr>
                <w:rFonts w:asciiTheme="minorHAnsi" w:hAnsiTheme="minorHAnsi" w:cstheme="minorHAnsi"/>
                <w:lang w:val="en-GB"/>
              </w:rPr>
            </w:pPr>
          </w:p>
        </w:tc>
        <w:tc>
          <w:tcPr>
            <w:tcW w:w="5529" w:type="dxa"/>
          </w:tcPr>
          <w:p w14:paraId="09F7EBF7" w14:textId="77777777" w:rsidR="00A21390" w:rsidRPr="00680020" w:rsidRDefault="00A21390" w:rsidP="00C33EAA">
            <w:pPr>
              <w:rPr>
                <w:rFonts w:cstheme="minorHAnsi"/>
                <w:lang w:val="en-GB"/>
              </w:rPr>
            </w:pPr>
            <w:r w:rsidRPr="00680020">
              <w:rPr>
                <w:rFonts w:eastAsia="Calibri" w:cstheme="minorHAnsi"/>
              </w:rPr>
              <w:t xml:space="preserve">Ensure that the </w:t>
            </w:r>
            <w:r w:rsidRPr="00680020">
              <w:rPr>
                <w:rFonts w:eastAsia="Calibri" w:cstheme="minorHAnsi"/>
                <w:b/>
              </w:rPr>
              <w:t>age of sexual consent</w:t>
            </w:r>
            <w:r w:rsidRPr="00680020">
              <w:rPr>
                <w:rFonts w:eastAsia="Calibri" w:cstheme="minorHAnsi"/>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701" w:type="dxa"/>
          </w:tcPr>
          <w:p w14:paraId="07241F5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No</w:t>
            </w:r>
          </w:p>
        </w:tc>
        <w:tc>
          <w:tcPr>
            <w:tcW w:w="6520" w:type="dxa"/>
          </w:tcPr>
          <w:p w14:paraId="2B34B03B" w14:textId="77777777" w:rsidR="00D93323" w:rsidRPr="009F2149" w:rsidRDefault="00D93323" w:rsidP="00D93323">
            <w:pPr>
              <w:jc w:val="both"/>
              <w:rPr>
                <w:rFonts w:ascii="Calibri" w:hAnsi="Calibri" w:cs="Calibri"/>
              </w:rPr>
            </w:pPr>
            <w:r w:rsidRPr="009F2149">
              <w:rPr>
                <w:rFonts w:ascii="Calibri" w:hAnsi="Calibri" w:cs="Calibri"/>
              </w:rPr>
              <w:t xml:space="preserve">The age of sexual consent for girls is 14. (Section 375 of the Penal Code, 1860) No age has been identified for boys. </w:t>
            </w:r>
          </w:p>
          <w:p w14:paraId="3DA89426" w14:textId="1F59A013" w:rsidR="00A21390" w:rsidRPr="00680020" w:rsidRDefault="00D93323" w:rsidP="00D93323">
            <w:pPr>
              <w:rPr>
                <w:rFonts w:cstheme="minorHAnsi"/>
                <w:lang w:val="en-GB"/>
              </w:rPr>
            </w:pPr>
            <w:r w:rsidRPr="00382FDE">
              <w:rPr>
                <w:rFonts w:ascii="Calibri" w:hAnsi="Calibri" w:cs="Calibri"/>
              </w:rPr>
              <w:t>Moreover, there is neither any criteria to determine whether the consent</w:t>
            </w:r>
            <w:r w:rsidRPr="009F2149">
              <w:rPr>
                <w:rFonts w:ascii="Calibri" w:hAnsi="Calibri" w:cs="Calibri"/>
              </w:rPr>
              <w:t xml:space="preserve"> for </w:t>
            </w:r>
            <w:r w:rsidRPr="00382FDE">
              <w:rPr>
                <w:rFonts w:ascii="Calibri" w:hAnsi="Calibri" w:cs="Calibri"/>
              </w:rPr>
              <w:t>sexual activities between peers under the age of 18 is voluntary, well-informed and mutual</w:t>
            </w:r>
            <w:r w:rsidRPr="009F2149">
              <w:rPr>
                <w:rFonts w:ascii="Calibri" w:hAnsi="Calibri" w:cs="Calibri"/>
              </w:rPr>
              <w:t xml:space="preserve"> nor any close in age exception.</w:t>
            </w:r>
          </w:p>
          <w:p w14:paraId="07484B60" w14:textId="77777777" w:rsidR="00A21390" w:rsidRPr="00680020" w:rsidRDefault="00A21390" w:rsidP="00C33EAA">
            <w:pPr>
              <w:rPr>
                <w:rFonts w:cstheme="minorHAnsi"/>
                <w:lang w:val="en-GB"/>
              </w:rPr>
            </w:pPr>
          </w:p>
        </w:tc>
      </w:tr>
      <w:tr w:rsidR="00A21390" w:rsidRPr="00680020" w14:paraId="4C780032" w14:textId="77777777" w:rsidTr="00A21390">
        <w:trPr>
          <w:trHeight w:val="539"/>
        </w:trPr>
        <w:tc>
          <w:tcPr>
            <w:tcW w:w="425" w:type="dxa"/>
          </w:tcPr>
          <w:p w14:paraId="07D552A9" w14:textId="77777777" w:rsidR="00A21390" w:rsidRPr="00680020" w:rsidRDefault="00A21390" w:rsidP="00C33EAA">
            <w:pPr>
              <w:pStyle w:val="Paragrafoelenco"/>
              <w:numPr>
                <w:ilvl w:val="0"/>
                <w:numId w:val="2"/>
              </w:numPr>
              <w:spacing w:after="160" w:line="240" w:lineRule="auto"/>
              <w:rPr>
                <w:rFonts w:asciiTheme="minorHAnsi" w:hAnsiTheme="minorHAnsi" w:cstheme="minorHAnsi"/>
                <w:lang w:val="en-GB"/>
              </w:rPr>
            </w:pPr>
          </w:p>
        </w:tc>
        <w:tc>
          <w:tcPr>
            <w:tcW w:w="5529" w:type="dxa"/>
          </w:tcPr>
          <w:p w14:paraId="1DD0D644" w14:textId="77777777" w:rsidR="00A21390" w:rsidRPr="00680020" w:rsidRDefault="00A21390" w:rsidP="00C33EAA">
            <w:pPr>
              <w:rPr>
                <w:rFonts w:cstheme="minorHAnsi"/>
                <w:lang w:val="en-GB"/>
              </w:rPr>
            </w:pPr>
            <w:r w:rsidRPr="00680020">
              <w:rPr>
                <w:rFonts w:eastAsia="Calibri" w:cstheme="minorHAnsi"/>
              </w:rPr>
              <w:t xml:space="preserve">Have a law or regulation establishing a </w:t>
            </w:r>
            <w:r w:rsidRPr="00680020">
              <w:rPr>
                <w:rFonts w:eastAsia="Calibri" w:cstheme="minorHAnsi"/>
                <w:b/>
              </w:rPr>
              <w:t>mechanism for centrally registering sex offenders</w:t>
            </w:r>
            <w:r w:rsidRPr="00680020">
              <w:rPr>
                <w:rFonts w:eastAsia="Calibri" w:cstheme="minorHAnsi"/>
              </w:rPr>
              <w:t xml:space="preserve"> that has been implemented/setup.</w:t>
            </w:r>
          </w:p>
        </w:tc>
        <w:tc>
          <w:tcPr>
            <w:tcW w:w="1701" w:type="dxa"/>
          </w:tcPr>
          <w:p w14:paraId="6FB8C35F"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No </w:t>
            </w:r>
          </w:p>
        </w:tc>
        <w:tc>
          <w:tcPr>
            <w:tcW w:w="6520" w:type="dxa"/>
          </w:tcPr>
          <w:p w14:paraId="17B316A2" w14:textId="682A2E72" w:rsidR="00A21390" w:rsidRPr="00680020" w:rsidRDefault="00D93323" w:rsidP="00C33EAA">
            <w:pPr>
              <w:rPr>
                <w:rFonts w:cstheme="minorHAnsi"/>
                <w:lang w:val="en-GB"/>
              </w:rPr>
            </w:pPr>
            <w:r>
              <w:rPr>
                <w:rFonts w:ascii="Calibri" w:hAnsi="Calibri" w:cs="Calibri"/>
                <w:lang w:val="en-GB"/>
              </w:rPr>
              <w:t>The national legislation does not establish any sex offender registry.</w:t>
            </w:r>
          </w:p>
        </w:tc>
      </w:tr>
      <w:tr w:rsidR="00A21390" w:rsidRPr="00680020" w14:paraId="3E531206" w14:textId="77777777" w:rsidTr="00A21390">
        <w:trPr>
          <w:trHeight w:val="920"/>
        </w:trPr>
        <w:tc>
          <w:tcPr>
            <w:tcW w:w="425" w:type="dxa"/>
          </w:tcPr>
          <w:p w14:paraId="32AC529C" w14:textId="77777777" w:rsidR="00A21390" w:rsidRPr="00680020" w:rsidRDefault="00A21390" w:rsidP="00C33EAA">
            <w:pPr>
              <w:pStyle w:val="Paragrafoelenco"/>
              <w:numPr>
                <w:ilvl w:val="0"/>
                <w:numId w:val="2"/>
              </w:numPr>
              <w:spacing w:after="160" w:line="240" w:lineRule="auto"/>
              <w:rPr>
                <w:rFonts w:asciiTheme="minorHAnsi" w:hAnsiTheme="minorHAnsi" w:cstheme="minorHAnsi"/>
                <w:lang w:val="en-GB"/>
              </w:rPr>
            </w:pPr>
          </w:p>
        </w:tc>
        <w:tc>
          <w:tcPr>
            <w:tcW w:w="5529" w:type="dxa"/>
          </w:tcPr>
          <w:p w14:paraId="17E9F959" w14:textId="77777777" w:rsidR="00A21390" w:rsidRPr="00680020" w:rsidRDefault="00A21390" w:rsidP="00C33EAA">
            <w:pPr>
              <w:spacing w:after="160"/>
              <w:rPr>
                <w:rFonts w:cstheme="minorHAnsi"/>
                <w:lang w:val="en-GB"/>
              </w:rPr>
            </w:pPr>
            <w:r w:rsidRPr="00D42F68">
              <w:rPr>
                <w:rFonts w:ascii="Calibri" w:eastAsia="Calibri" w:hAnsi="Calibri" w:cs="Calibri"/>
              </w:rPr>
              <w:t xml:space="preserve">Establish </w:t>
            </w:r>
            <w:r>
              <w:rPr>
                <w:rFonts w:ascii="Calibri" w:eastAsia="Calibri" w:hAnsi="Calibri" w:cs="Calibri"/>
                <w:b/>
              </w:rPr>
              <w:t>bail</w:t>
            </w:r>
            <w:r w:rsidRPr="00D42F68">
              <w:rPr>
                <w:rFonts w:ascii="Calibri" w:eastAsia="Calibri" w:hAnsi="Calibri" w:cs="Calibri"/>
                <w:b/>
              </w:rPr>
              <w:t xml:space="preserve"> conditions</w:t>
            </w:r>
            <w:r w:rsidRPr="00D42F68">
              <w:rPr>
                <w:rFonts w:ascii="Calibri" w:eastAsia="Calibri" w:hAnsi="Calibri" w:cs="Calibri"/>
              </w:rPr>
              <w:t xml:space="preserve"> that prohibit individual accused of sexual offences against children from traveling outside of the country.</w:t>
            </w:r>
          </w:p>
        </w:tc>
        <w:tc>
          <w:tcPr>
            <w:tcW w:w="1701" w:type="dxa"/>
          </w:tcPr>
          <w:p w14:paraId="060F9A89"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Partially </w:t>
            </w:r>
          </w:p>
        </w:tc>
        <w:tc>
          <w:tcPr>
            <w:tcW w:w="6520" w:type="dxa"/>
          </w:tcPr>
          <w:p w14:paraId="4844824F" w14:textId="77777777" w:rsidR="00D93323" w:rsidRDefault="00D93323" w:rsidP="00D93323">
            <w:pPr>
              <w:spacing w:after="160"/>
              <w:jc w:val="both"/>
              <w:rPr>
                <w:rFonts w:ascii="Calibri" w:hAnsi="Calibri" w:cs="Calibri"/>
              </w:rPr>
            </w:pPr>
            <w:r>
              <w:rPr>
                <w:rFonts w:ascii="Calibri" w:hAnsi="Calibri" w:cs="Calibri"/>
                <w:lang w:val="en-GB"/>
              </w:rPr>
              <w:t xml:space="preserve">The national legislation does not exclude SEC offences committed </w:t>
            </w:r>
            <w:r w:rsidRPr="00436380">
              <w:rPr>
                <w:rFonts w:ascii="Calibri" w:hAnsi="Calibri" w:cs="Calibri"/>
                <w:lang w:val="en-GB"/>
              </w:rPr>
              <w:t xml:space="preserve">abroad from </w:t>
            </w:r>
            <w:r w:rsidRPr="003D73D0">
              <w:rPr>
                <w:rFonts w:ascii="Calibri" w:hAnsi="Calibri" w:cs="Calibri"/>
                <w:lang w:val="en-GB"/>
              </w:rPr>
              <w:t>bail</w:t>
            </w:r>
            <w:r w:rsidRPr="00A4288F">
              <w:rPr>
                <w:rFonts w:ascii="Calibri" w:hAnsi="Calibri" w:cs="Calibri"/>
                <w:lang w:val="en-GB"/>
              </w:rPr>
              <w:t xml:space="preserve"> </w:t>
            </w:r>
            <w:r w:rsidRPr="00436380">
              <w:rPr>
                <w:rFonts w:ascii="Calibri" w:hAnsi="Calibri" w:cs="Calibri"/>
                <w:lang w:val="en-GB"/>
              </w:rPr>
              <w:t>or establish bail conditions that prohibit the (alleged) offender from traveling outside of the country</w:t>
            </w:r>
            <w:r>
              <w:rPr>
                <w:rFonts w:ascii="Calibri" w:hAnsi="Calibri" w:cs="Calibri"/>
                <w:lang w:val="en-GB"/>
              </w:rPr>
              <w:t xml:space="preserve">. </w:t>
            </w:r>
          </w:p>
          <w:p w14:paraId="0CD7653A" w14:textId="2E8DE17A" w:rsidR="00A21390" w:rsidRPr="00680020" w:rsidRDefault="00D93323" w:rsidP="00D93323">
            <w:pPr>
              <w:rPr>
                <w:rFonts w:cstheme="minorHAnsi"/>
                <w:lang w:val="en-GB"/>
              </w:rPr>
            </w:pPr>
            <w:r>
              <w:rPr>
                <w:rFonts w:ascii="Calibri" w:hAnsi="Calibri" w:cs="Calibri"/>
              </w:rPr>
              <w:t>Notwithstanding, t</w:t>
            </w:r>
            <w:r w:rsidRPr="00FC66C3">
              <w:rPr>
                <w:rFonts w:ascii="Calibri" w:hAnsi="Calibri" w:cs="Calibri"/>
              </w:rPr>
              <w:t>he offences under PASHTA are cognizable, non-bailable, and non-compoundable</w:t>
            </w:r>
            <w:r>
              <w:rPr>
                <w:rFonts w:ascii="Calibri" w:hAnsi="Calibri" w:cs="Calibri"/>
              </w:rPr>
              <w:t xml:space="preserve"> (Section 16)</w:t>
            </w:r>
            <w:r w:rsidRPr="00FC66C3">
              <w:rPr>
                <w:rFonts w:ascii="Calibri" w:hAnsi="Calibri" w:cs="Calibri"/>
              </w:rPr>
              <w:t xml:space="preserve">. </w:t>
            </w:r>
            <w:r>
              <w:rPr>
                <w:rFonts w:ascii="Calibri" w:hAnsi="Calibri" w:cs="Calibri"/>
              </w:rPr>
              <w:t xml:space="preserve">Similarly, </w:t>
            </w:r>
            <w:r w:rsidRPr="00FC66C3">
              <w:rPr>
                <w:rFonts w:ascii="Calibri" w:hAnsi="Calibri" w:cs="Calibri"/>
              </w:rPr>
              <w:t xml:space="preserve">Section 19(ii) of the Prevention of Oppression Against Women and Children Act </w:t>
            </w:r>
            <w:r>
              <w:rPr>
                <w:rFonts w:ascii="Calibri" w:hAnsi="Calibri" w:cs="Calibri"/>
              </w:rPr>
              <w:t xml:space="preserve">and </w:t>
            </w:r>
            <w:r w:rsidRPr="00FC66C3">
              <w:rPr>
                <w:rFonts w:ascii="Calibri" w:hAnsi="Calibri" w:cs="Calibri"/>
              </w:rPr>
              <w:t>2000</w:t>
            </w:r>
            <w:r>
              <w:rPr>
                <w:rFonts w:ascii="Calibri" w:hAnsi="Calibri" w:cs="Calibri"/>
              </w:rPr>
              <w:t xml:space="preserve"> and Section 10 of the Anti Pornography Act </w:t>
            </w:r>
            <w:r w:rsidRPr="00FC66C3">
              <w:rPr>
                <w:rFonts w:ascii="Calibri" w:hAnsi="Calibri" w:cs="Calibri"/>
                <w:bCs/>
              </w:rPr>
              <w:t xml:space="preserve">make </w:t>
            </w:r>
            <w:r w:rsidRPr="00FC66C3">
              <w:rPr>
                <w:rFonts w:ascii="Calibri" w:hAnsi="Calibri" w:cs="Calibri"/>
              </w:rPr>
              <w:t>all offences under th</w:t>
            </w:r>
            <w:r>
              <w:rPr>
                <w:rFonts w:ascii="Calibri" w:hAnsi="Calibri" w:cs="Calibri"/>
              </w:rPr>
              <w:t>ese</w:t>
            </w:r>
            <w:r w:rsidRPr="00FC66C3">
              <w:rPr>
                <w:rFonts w:ascii="Calibri" w:hAnsi="Calibri" w:cs="Calibri"/>
              </w:rPr>
              <w:t xml:space="preserve"> Act</w:t>
            </w:r>
            <w:r>
              <w:rPr>
                <w:rFonts w:ascii="Calibri" w:hAnsi="Calibri" w:cs="Calibri"/>
              </w:rPr>
              <w:t>s</w:t>
            </w:r>
            <w:r w:rsidRPr="00FC66C3">
              <w:rPr>
                <w:rFonts w:ascii="Calibri" w:hAnsi="Calibri" w:cs="Calibri"/>
              </w:rPr>
              <w:t xml:space="preserve"> non-bailable.</w:t>
            </w:r>
          </w:p>
        </w:tc>
      </w:tr>
      <w:tr w:rsidR="00A21390" w:rsidRPr="00680020" w14:paraId="7A7B6F02" w14:textId="77777777" w:rsidTr="00A21390">
        <w:trPr>
          <w:trHeight w:val="640"/>
        </w:trPr>
        <w:tc>
          <w:tcPr>
            <w:tcW w:w="425" w:type="dxa"/>
          </w:tcPr>
          <w:p w14:paraId="13E7539D" w14:textId="77777777" w:rsidR="00A21390" w:rsidRPr="00680020" w:rsidRDefault="00A21390" w:rsidP="00C33EAA">
            <w:pPr>
              <w:pStyle w:val="Paragrafoelenco"/>
              <w:numPr>
                <w:ilvl w:val="0"/>
                <w:numId w:val="2"/>
              </w:numPr>
              <w:spacing w:after="160" w:line="240" w:lineRule="auto"/>
              <w:rPr>
                <w:rFonts w:asciiTheme="minorHAnsi" w:hAnsiTheme="minorHAnsi" w:cstheme="minorHAnsi"/>
                <w:lang w:val="en-GB"/>
              </w:rPr>
            </w:pPr>
          </w:p>
        </w:tc>
        <w:tc>
          <w:tcPr>
            <w:tcW w:w="5529" w:type="dxa"/>
          </w:tcPr>
          <w:p w14:paraId="2C7F62F0" w14:textId="77777777" w:rsidR="00A21390" w:rsidRPr="00680020" w:rsidRDefault="00A21390" w:rsidP="00C33EAA">
            <w:pPr>
              <w:spacing w:after="160"/>
              <w:rPr>
                <w:rFonts w:cstheme="minorHAnsi"/>
                <w:lang w:val="en-GB"/>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criminalised.</w:t>
            </w:r>
          </w:p>
        </w:tc>
        <w:tc>
          <w:tcPr>
            <w:tcW w:w="1701" w:type="dxa"/>
          </w:tcPr>
          <w:p w14:paraId="2E034DCE" w14:textId="1FFC0C22" w:rsidR="00A21390" w:rsidRPr="00A20A79" w:rsidRDefault="009570CC"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2E121A14" w14:textId="77777777" w:rsidR="00D93323" w:rsidRDefault="00D93323" w:rsidP="00E97227">
            <w:r>
              <w:t xml:space="preserve">Under Section 511 of the Penal Code the attempt at committing any crime under that Act will be punished with imprisonment of up to half of the sentence for the crime intended. </w:t>
            </w:r>
          </w:p>
          <w:p w14:paraId="36E1B9F8" w14:textId="77777777" w:rsidR="00D93323" w:rsidRDefault="00D93323" w:rsidP="00E97227"/>
          <w:p w14:paraId="5CCD4B3D" w14:textId="6C64949B" w:rsidR="00E97227" w:rsidRPr="00E97227" w:rsidRDefault="00D93323" w:rsidP="00E97227">
            <w:r>
              <w:t xml:space="preserve">Article 8 of the Prevention and Suppression of Human Trafficking Act punishes any person attempting to commit a trafficking offence with between 3-7 years imprisonment. </w:t>
            </w:r>
            <w:r w:rsidR="00E97227" w:rsidRPr="00E97227">
              <w:br/>
            </w:r>
          </w:p>
          <w:p w14:paraId="4FCCAFA7" w14:textId="4ACC50DB" w:rsidR="00A21390" w:rsidRPr="00680020" w:rsidRDefault="00A21390" w:rsidP="00C33EAA">
            <w:pPr>
              <w:rPr>
                <w:rFonts w:cstheme="minorHAnsi"/>
                <w:lang w:val="en-GB"/>
              </w:rPr>
            </w:pPr>
          </w:p>
        </w:tc>
      </w:tr>
      <w:tr w:rsidR="00A21390" w:rsidRPr="00680020" w14:paraId="41F5E5B0" w14:textId="77777777" w:rsidTr="00A21390">
        <w:trPr>
          <w:trHeight w:val="144"/>
        </w:trPr>
        <w:tc>
          <w:tcPr>
            <w:tcW w:w="425" w:type="dxa"/>
          </w:tcPr>
          <w:p w14:paraId="6C5E9BA8" w14:textId="77777777" w:rsidR="00A21390" w:rsidRPr="00680020" w:rsidRDefault="00A21390" w:rsidP="00C33EAA">
            <w:pPr>
              <w:pStyle w:val="Paragrafoelenco"/>
              <w:numPr>
                <w:ilvl w:val="0"/>
                <w:numId w:val="2"/>
              </w:numPr>
              <w:spacing w:line="240" w:lineRule="auto"/>
              <w:rPr>
                <w:rFonts w:asciiTheme="minorHAnsi" w:hAnsiTheme="minorHAnsi" w:cstheme="minorHAnsi"/>
                <w:lang w:val="en-GB"/>
              </w:rPr>
            </w:pPr>
          </w:p>
        </w:tc>
        <w:tc>
          <w:tcPr>
            <w:tcW w:w="5529" w:type="dxa"/>
          </w:tcPr>
          <w:p w14:paraId="048666A8" w14:textId="77777777" w:rsidR="00A21390" w:rsidRPr="00680020" w:rsidRDefault="00A21390" w:rsidP="00C33EAA">
            <w:pPr>
              <w:rPr>
                <w:rFonts w:cstheme="minorHAnsi"/>
                <w:lang w:val="en-GB"/>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exploitation against children, e.g. by defining reoffending as an aggravating circumstance, regardless of whether the crimes were perpetrated abroad or in-country.</w:t>
            </w:r>
          </w:p>
        </w:tc>
        <w:tc>
          <w:tcPr>
            <w:tcW w:w="1701" w:type="dxa"/>
          </w:tcPr>
          <w:p w14:paraId="331D00CA" w14:textId="3C2E7402" w:rsidR="00A21390" w:rsidRPr="00A20A79" w:rsidRDefault="00D93323" w:rsidP="00C33EAA">
            <w:pPr>
              <w:rPr>
                <w:rFonts w:cstheme="minorHAnsi"/>
                <w:bCs/>
                <w:color w:val="000000" w:themeColor="text1"/>
                <w:lang w:val="en-GB"/>
              </w:rPr>
            </w:pPr>
            <w:r>
              <w:rPr>
                <w:rFonts w:cstheme="minorHAnsi"/>
                <w:bCs/>
                <w:color w:val="000000" w:themeColor="text1"/>
                <w:lang w:val="en-GB"/>
              </w:rPr>
              <w:t>No</w:t>
            </w:r>
          </w:p>
        </w:tc>
        <w:tc>
          <w:tcPr>
            <w:tcW w:w="6520" w:type="dxa"/>
          </w:tcPr>
          <w:p w14:paraId="6BBCB843" w14:textId="014AD745" w:rsidR="00A21390" w:rsidRPr="00680020" w:rsidRDefault="00D93323" w:rsidP="00C33EAA">
            <w:pPr>
              <w:rPr>
                <w:rFonts w:cstheme="minorHAnsi"/>
                <w:lang w:val="en-GB"/>
              </w:rPr>
            </w:pPr>
            <w:r>
              <w:rPr>
                <w:rFonts w:ascii="Calibri" w:hAnsi="Calibri" w:cs="Calibri"/>
              </w:rPr>
              <w:t>Unable to find information suggesting the existence of laws imposing more severe sentences for recidivists for SEC offences.</w:t>
            </w:r>
          </w:p>
        </w:tc>
      </w:tr>
      <w:tr w:rsidR="00A21390" w:rsidRPr="00680020" w14:paraId="43352AFA" w14:textId="77777777" w:rsidTr="00A21390">
        <w:trPr>
          <w:trHeight w:val="864"/>
        </w:trPr>
        <w:tc>
          <w:tcPr>
            <w:tcW w:w="425" w:type="dxa"/>
          </w:tcPr>
          <w:p w14:paraId="11797AD0" w14:textId="77777777" w:rsidR="00A21390" w:rsidRPr="00680020" w:rsidRDefault="00A21390" w:rsidP="00C33EAA">
            <w:pPr>
              <w:pStyle w:val="Paragrafoelenco"/>
              <w:numPr>
                <w:ilvl w:val="0"/>
                <w:numId w:val="2"/>
              </w:numPr>
              <w:spacing w:after="160" w:line="240" w:lineRule="auto"/>
              <w:rPr>
                <w:rFonts w:asciiTheme="minorHAnsi" w:hAnsiTheme="minorHAnsi" w:cstheme="minorHAnsi"/>
                <w:lang w:val="en-GB"/>
              </w:rPr>
            </w:pPr>
          </w:p>
        </w:tc>
        <w:tc>
          <w:tcPr>
            <w:tcW w:w="5529" w:type="dxa"/>
          </w:tcPr>
          <w:p w14:paraId="7C694A49" w14:textId="77777777" w:rsidR="00A21390" w:rsidRPr="00680020" w:rsidRDefault="00A21390" w:rsidP="00C33EAA">
            <w:pPr>
              <w:spacing w:after="160"/>
              <w:rPr>
                <w:rFonts w:cstheme="minorHAnsi"/>
                <w:lang w:val="en-GB"/>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particular professions that have likelihood to have contact with kids who might disclose.</w:t>
            </w:r>
          </w:p>
        </w:tc>
        <w:tc>
          <w:tcPr>
            <w:tcW w:w="1701" w:type="dxa"/>
          </w:tcPr>
          <w:p w14:paraId="6E53D2B8"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Yes</w:t>
            </w:r>
          </w:p>
        </w:tc>
        <w:tc>
          <w:tcPr>
            <w:tcW w:w="6520" w:type="dxa"/>
          </w:tcPr>
          <w:p w14:paraId="713BE823" w14:textId="77777777" w:rsidR="00D93323" w:rsidRDefault="00D93323" w:rsidP="00D93323">
            <w:pPr>
              <w:spacing w:after="160"/>
              <w:jc w:val="both"/>
              <w:rPr>
                <w:rFonts w:ascii="Calibri" w:hAnsi="Calibri" w:cs="Calibri"/>
                <w:shd w:val="clear" w:color="auto" w:fill="FFFFFF"/>
              </w:rPr>
            </w:pPr>
            <w:r w:rsidRPr="0055757C">
              <w:rPr>
                <w:rFonts w:ascii="Calibri" w:hAnsi="Calibri" w:cs="Calibri"/>
                <w:shd w:val="clear" w:color="auto" w:fill="FFFFFF"/>
              </w:rPr>
              <w:t xml:space="preserve">There are no mandatory reporting duties in relation to SEC offences. </w:t>
            </w:r>
            <w:r>
              <w:rPr>
                <w:rFonts w:ascii="Calibri" w:hAnsi="Calibri" w:cs="Calibri"/>
                <w:shd w:val="clear" w:color="auto" w:fill="FFFFFF"/>
              </w:rPr>
              <w:t xml:space="preserve">Notwithstanding, Section 53 of the Children Act makes it the responsibility of all persons to report about a “child in conflict with the law”. Any person who has reason to believe that a child is victim or witness to any criminal incident, has the responsibility of informing the Child Affairs probation Officer, the Probation Officer, or the Social Worker. </w:t>
            </w:r>
          </w:p>
          <w:p w14:paraId="224582F3" w14:textId="77777777" w:rsidR="00D93323" w:rsidRPr="00A12198" w:rsidRDefault="00D93323" w:rsidP="00D93323">
            <w:pPr>
              <w:spacing w:after="160"/>
              <w:jc w:val="both"/>
              <w:rPr>
                <w:rFonts w:ascii="Calibri" w:hAnsi="Calibri" w:cs="Calibri"/>
                <w:shd w:val="clear" w:color="auto" w:fill="FFFFFF"/>
              </w:rPr>
            </w:pPr>
            <w:r>
              <w:rPr>
                <w:rFonts w:ascii="Calibri" w:hAnsi="Calibri" w:cs="Calibri"/>
                <w:lang w:val="en-GB"/>
              </w:rPr>
              <w:t>Here, a “child in contact with the law” includes a child victim or witness of any offence under any law. (Section 2(4) of the Children Act 2013)</w:t>
            </w:r>
          </w:p>
          <w:p w14:paraId="2D417513" w14:textId="543ADCF8" w:rsidR="00A21390" w:rsidRPr="00680020" w:rsidRDefault="00A21390" w:rsidP="00C33EAA">
            <w:pPr>
              <w:rPr>
                <w:rFonts w:cstheme="minorHAnsi"/>
                <w:highlight w:val="yellow"/>
                <w:lang w:val="en-GB"/>
              </w:rPr>
            </w:pPr>
          </w:p>
        </w:tc>
      </w:tr>
      <w:tr w:rsidR="00A21390" w:rsidRPr="00680020" w14:paraId="0809D4B3" w14:textId="77777777" w:rsidTr="00A21390">
        <w:trPr>
          <w:trHeight w:val="557"/>
        </w:trPr>
        <w:tc>
          <w:tcPr>
            <w:tcW w:w="425" w:type="dxa"/>
          </w:tcPr>
          <w:p w14:paraId="69BE80D3" w14:textId="77777777" w:rsidR="00A21390" w:rsidRPr="00680020" w:rsidRDefault="00A21390" w:rsidP="00C33EAA">
            <w:pPr>
              <w:pStyle w:val="Paragrafoelenco"/>
              <w:numPr>
                <w:ilvl w:val="0"/>
                <w:numId w:val="2"/>
              </w:numPr>
              <w:spacing w:line="240" w:lineRule="auto"/>
              <w:rPr>
                <w:rFonts w:asciiTheme="minorHAnsi" w:hAnsiTheme="minorHAnsi" w:cstheme="minorHAnsi"/>
                <w:lang w:val="en-GB"/>
              </w:rPr>
            </w:pPr>
          </w:p>
        </w:tc>
        <w:tc>
          <w:tcPr>
            <w:tcW w:w="5529" w:type="dxa"/>
          </w:tcPr>
          <w:p w14:paraId="4C610DD8" w14:textId="77777777" w:rsidR="00A21390" w:rsidRPr="00680020" w:rsidRDefault="00A21390" w:rsidP="00C33EAA">
            <w:pPr>
              <w:rPr>
                <w:rFonts w:cstheme="minorHAnsi"/>
                <w:lang w:val="en-GB"/>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701" w:type="dxa"/>
          </w:tcPr>
          <w:p w14:paraId="425D0696" w14:textId="50E1A06A" w:rsidR="00A21390" w:rsidRPr="00A20A79" w:rsidRDefault="00D93323" w:rsidP="00C33EAA">
            <w:pPr>
              <w:rPr>
                <w:rFonts w:cstheme="minorHAnsi"/>
                <w:bCs/>
                <w:color w:val="000000" w:themeColor="text1"/>
                <w:lang w:val="en-GB"/>
              </w:rPr>
            </w:pPr>
            <w:r>
              <w:rPr>
                <w:rFonts w:cstheme="minorHAnsi"/>
                <w:bCs/>
                <w:color w:val="000000" w:themeColor="text1"/>
                <w:lang w:val="en-GB"/>
              </w:rPr>
              <w:t>No</w:t>
            </w:r>
          </w:p>
        </w:tc>
        <w:tc>
          <w:tcPr>
            <w:tcW w:w="6520" w:type="dxa"/>
          </w:tcPr>
          <w:p w14:paraId="72C198A5" w14:textId="0788CA3B" w:rsidR="00A21390" w:rsidRPr="00680020" w:rsidRDefault="00A21390" w:rsidP="00C33EAA">
            <w:pPr>
              <w:rPr>
                <w:rFonts w:cstheme="minorHAnsi"/>
                <w:lang w:val="en-GB"/>
              </w:rPr>
            </w:pPr>
          </w:p>
        </w:tc>
      </w:tr>
      <w:tr w:rsidR="00A21390" w:rsidRPr="00680020" w14:paraId="4EA8B292" w14:textId="77777777" w:rsidTr="00A21390">
        <w:trPr>
          <w:trHeight w:val="432"/>
        </w:trPr>
        <w:tc>
          <w:tcPr>
            <w:tcW w:w="425" w:type="dxa"/>
          </w:tcPr>
          <w:p w14:paraId="7C319A16" w14:textId="77777777" w:rsidR="00A21390" w:rsidRPr="00680020" w:rsidRDefault="00A21390" w:rsidP="00C33EAA">
            <w:pPr>
              <w:pStyle w:val="Paragrafoelenco"/>
              <w:numPr>
                <w:ilvl w:val="0"/>
                <w:numId w:val="2"/>
              </w:numPr>
              <w:spacing w:line="240" w:lineRule="auto"/>
              <w:rPr>
                <w:rFonts w:asciiTheme="minorHAnsi" w:hAnsiTheme="minorHAnsi" w:cstheme="minorHAnsi"/>
                <w:lang w:val="en-GB"/>
              </w:rPr>
            </w:pPr>
          </w:p>
        </w:tc>
        <w:tc>
          <w:tcPr>
            <w:tcW w:w="5529" w:type="dxa"/>
          </w:tcPr>
          <w:p w14:paraId="15F12DA3" w14:textId="77777777" w:rsidR="00A21390" w:rsidRPr="00F93302" w:rsidRDefault="00A21390" w:rsidP="00C33EAA">
            <w:pPr>
              <w:jc w:val="both"/>
              <w:rPr>
                <w:rFonts w:cstheme="minorHAnsi"/>
              </w:rPr>
            </w:pPr>
            <w:r w:rsidRPr="00F93302">
              <w:rPr>
                <w:rFonts w:cstheme="minorHAnsi"/>
              </w:rPr>
              <w:t xml:space="preserve">Ensure the </w:t>
            </w:r>
            <w:r w:rsidRPr="00F93302">
              <w:rPr>
                <w:rFonts w:cstheme="minorHAnsi"/>
                <w:b/>
              </w:rPr>
              <w:t>liability of travel and tourism businesses</w:t>
            </w:r>
            <w:r w:rsidRPr="00F93302">
              <w:rPr>
                <w:rFonts w:cstheme="minorHAnsi"/>
              </w:rPr>
              <w:t xml:space="preserve"> (in operations and supply chains) for criminal conduct including:</w:t>
            </w:r>
          </w:p>
          <w:p w14:paraId="60709291" w14:textId="77777777" w:rsidR="00A21390" w:rsidRPr="00F93302" w:rsidRDefault="00A21390" w:rsidP="00A21390">
            <w:pPr>
              <w:pStyle w:val="Paragrafoelenco"/>
              <w:numPr>
                <w:ilvl w:val="0"/>
                <w:numId w:val="5"/>
              </w:numPr>
              <w:spacing w:line="240" w:lineRule="auto"/>
              <w:jc w:val="both"/>
              <w:rPr>
                <w:rFonts w:asciiTheme="minorHAnsi" w:hAnsiTheme="minorHAnsi" w:cstheme="minorHAnsi"/>
              </w:rPr>
            </w:pPr>
            <w:r w:rsidRPr="00F93302">
              <w:rPr>
                <w:rFonts w:asciiTheme="minorHAnsi" w:hAnsiTheme="minorHAnsi" w:cstheme="minorHAnsi"/>
              </w:rPr>
              <w:t>Organising travel arrangements or transportation that are explicitly or implicitly meant to create or facilitate opportunities to engage (involve) children in sexual activities;</w:t>
            </w:r>
          </w:p>
          <w:p w14:paraId="59B3A209" w14:textId="77777777" w:rsidR="00A21390" w:rsidRPr="00F93302" w:rsidRDefault="00A21390" w:rsidP="00A21390">
            <w:pPr>
              <w:pStyle w:val="Paragrafoelenco"/>
              <w:numPr>
                <w:ilvl w:val="0"/>
                <w:numId w:val="5"/>
              </w:numPr>
              <w:spacing w:line="240" w:lineRule="auto"/>
              <w:jc w:val="both"/>
              <w:rPr>
                <w:rFonts w:asciiTheme="minorHAnsi" w:hAnsiTheme="minorHAnsi" w:cstheme="minorHAnsi"/>
              </w:rPr>
            </w:pPr>
            <w:r w:rsidRPr="00F93302">
              <w:rPr>
                <w:rFonts w:asciiTheme="minorHAnsi" w:hAnsiTheme="minorHAnsi" w:cstheme="minorHAnsi"/>
              </w:rPr>
              <w:t>Procuring, aiding or abetting the exploitat</w:t>
            </w:r>
            <w:r>
              <w:rPr>
                <w:rFonts w:asciiTheme="minorHAnsi" w:hAnsiTheme="minorHAnsi" w:cstheme="minorHAnsi"/>
              </w:rPr>
              <w:t xml:space="preserve">ive sexual </w:t>
            </w:r>
            <w:r w:rsidRPr="00F93302">
              <w:rPr>
                <w:rFonts w:asciiTheme="minorHAnsi" w:hAnsiTheme="minorHAnsi" w:cstheme="minorHAnsi"/>
              </w:rPr>
              <w:t>conduct with a child;</w:t>
            </w:r>
          </w:p>
          <w:p w14:paraId="5B5C198C" w14:textId="77777777" w:rsidR="00A21390" w:rsidRDefault="00A21390" w:rsidP="00A21390">
            <w:pPr>
              <w:pStyle w:val="Paragrafoelenco"/>
              <w:numPr>
                <w:ilvl w:val="0"/>
                <w:numId w:val="5"/>
              </w:numPr>
              <w:spacing w:line="240" w:lineRule="auto"/>
              <w:jc w:val="both"/>
              <w:rPr>
                <w:rFonts w:asciiTheme="minorHAnsi" w:hAnsiTheme="minorHAnsi" w:cstheme="minorHAnsi"/>
              </w:rPr>
            </w:pPr>
            <w:r w:rsidRPr="00F93302">
              <w:rPr>
                <w:rFonts w:asciiTheme="minorHAnsi" w:hAnsiTheme="minorHAnsi" w:cstheme="minorHAnsi"/>
              </w:rPr>
              <w:t>Advertising or promoting sexual exploitation of children;</w:t>
            </w:r>
          </w:p>
          <w:p w14:paraId="774CE75F" w14:textId="77777777" w:rsidR="00A21390" w:rsidRPr="00F93302" w:rsidRDefault="00A21390" w:rsidP="00A21390">
            <w:pPr>
              <w:pStyle w:val="Paragrafoelenco"/>
              <w:numPr>
                <w:ilvl w:val="0"/>
                <w:numId w:val="5"/>
              </w:numPr>
              <w:spacing w:line="240" w:lineRule="auto"/>
              <w:jc w:val="both"/>
              <w:rPr>
                <w:rFonts w:asciiTheme="minorHAnsi" w:hAnsiTheme="minorHAnsi" w:cstheme="minorHAnsi"/>
              </w:rPr>
            </w:pPr>
            <w:r w:rsidRPr="00F93302">
              <w:rPr>
                <w:rFonts w:asciiTheme="minorHAnsi" w:hAnsiTheme="minorHAnsi" w:cstheme="minorHAnsi"/>
              </w:rPr>
              <w:t>Benefitting, by any means, from any form of sexual exploitation of a child (or children) in the context of their travel and tourism business.</w:t>
            </w:r>
          </w:p>
        </w:tc>
        <w:tc>
          <w:tcPr>
            <w:tcW w:w="1701" w:type="dxa"/>
          </w:tcPr>
          <w:p w14:paraId="5C552DB5" w14:textId="17CB199E" w:rsidR="00A21390" w:rsidRPr="00A20A79" w:rsidRDefault="00D93323" w:rsidP="00C33EAA">
            <w:pPr>
              <w:rPr>
                <w:rFonts w:cstheme="minorHAnsi"/>
                <w:bCs/>
                <w:color w:val="000000" w:themeColor="text1"/>
                <w:lang w:val="en-GB"/>
              </w:rPr>
            </w:pPr>
            <w:r>
              <w:rPr>
                <w:rFonts w:cstheme="minorHAnsi"/>
                <w:bCs/>
                <w:color w:val="000000" w:themeColor="text1"/>
                <w:lang w:val="en-GB"/>
              </w:rPr>
              <w:t>Partially</w:t>
            </w:r>
          </w:p>
        </w:tc>
        <w:tc>
          <w:tcPr>
            <w:tcW w:w="6520" w:type="dxa"/>
          </w:tcPr>
          <w:p w14:paraId="141598C1" w14:textId="77777777" w:rsidR="00D93323" w:rsidRDefault="00D93323" w:rsidP="00D93323">
            <w:pPr>
              <w:jc w:val="both"/>
              <w:rPr>
                <w:rFonts w:ascii="Calibri" w:hAnsi="Calibri" w:cs="Calibri"/>
              </w:rPr>
            </w:pPr>
            <w:r>
              <w:rPr>
                <w:rFonts w:ascii="Calibri" w:hAnsi="Calibri" w:cs="Calibri"/>
              </w:rPr>
              <w:t xml:space="preserve">There are no laws imposing liabilities on private travel and tourism sector for SECTT offences. </w:t>
            </w:r>
          </w:p>
          <w:p w14:paraId="6CA92961" w14:textId="77777777" w:rsidR="00A21390" w:rsidRDefault="00D93323" w:rsidP="00D93323">
            <w:pPr>
              <w:rPr>
                <w:rFonts w:ascii="Calibri" w:hAnsi="Calibri" w:cs="Calibri"/>
              </w:rPr>
            </w:pPr>
            <w:r>
              <w:rPr>
                <w:rFonts w:ascii="Calibri" w:hAnsi="Calibri" w:cs="Calibri"/>
              </w:rPr>
              <w:t xml:space="preserve">Notwithstanding, Section </w:t>
            </w:r>
            <w:r w:rsidRPr="009D05D7">
              <w:rPr>
                <w:rFonts w:ascii="Calibri" w:hAnsi="Calibri" w:cs="Calibri"/>
              </w:rPr>
              <w:t xml:space="preserve">44 of PASHTA </w:t>
            </w:r>
            <w:r>
              <w:rPr>
                <w:rFonts w:ascii="Calibri" w:hAnsi="Calibri" w:cs="Calibri"/>
              </w:rPr>
              <w:t>criminalises o</w:t>
            </w:r>
            <w:r w:rsidRPr="009D05D7">
              <w:rPr>
                <w:rFonts w:ascii="Calibri" w:hAnsi="Calibri" w:cs="Calibri"/>
              </w:rPr>
              <w:t>ffences by companies or firms</w:t>
            </w:r>
            <w:r>
              <w:rPr>
                <w:rFonts w:ascii="Calibri" w:hAnsi="Calibri" w:cs="Calibri"/>
              </w:rPr>
              <w:t xml:space="preserve"> under the Act</w:t>
            </w:r>
            <w:r w:rsidRPr="009D05D7">
              <w:rPr>
                <w:rFonts w:ascii="Calibri" w:hAnsi="Calibri" w:cs="Calibri"/>
              </w:rPr>
              <w:t>.</w:t>
            </w:r>
            <w:r>
              <w:rPr>
                <w:rFonts w:ascii="Calibri" w:hAnsi="Calibri" w:cs="Calibri"/>
              </w:rPr>
              <w:t xml:space="preserve"> Accordingly, “w</w:t>
            </w:r>
            <w:r w:rsidRPr="009D05D7">
              <w:rPr>
                <w:rFonts w:ascii="Calibri" w:hAnsi="Calibri" w:cs="Calibri"/>
              </w:rPr>
              <w:t>here any offence under this Act is committed by a company or firm, whether incorporated or not in Bangladesh, the persons who were the proprietors, directors, managers, secretaries or agents of the company or firm at the time of the commission of the offence, shall be deemed to have committed the offence ... unless the accused may prove that the offence has been committed beyond his knowledge and has tried his best to prevent it</w:t>
            </w:r>
            <w:r>
              <w:rPr>
                <w:rFonts w:ascii="Calibri" w:hAnsi="Calibri" w:cs="Calibri"/>
              </w:rPr>
              <w:t>”</w:t>
            </w:r>
            <w:r w:rsidRPr="009D05D7">
              <w:rPr>
                <w:rFonts w:ascii="Calibri" w:hAnsi="Calibri" w:cs="Calibri"/>
              </w:rPr>
              <w:t>.</w:t>
            </w:r>
          </w:p>
          <w:p w14:paraId="52601B44" w14:textId="77777777" w:rsidR="00D93323" w:rsidRDefault="00D93323" w:rsidP="00D93323">
            <w:pPr>
              <w:rPr>
                <w:rFonts w:ascii="Calibri" w:hAnsi="Calibri" w:cs="Calibri"/>
              </w:rPr>
            </w:pPr>
          </w:p>
          <w:p w14:paraId="155DE862" w14:textId="2AEA8B41" w:rsidR="00D93323" w:rsidRPr="00680020" w:rsidRDefault="00D93323" w:rsidP="00D93323">
            <w:pPr>
              <w:rPr>
                <w:rFonts w:cstheme="minorHAnsi"/>
                <w:lang w:val="en-GB"/>
              </w:rPr>
            </w:pPr>
            <w:r>
              <w:rPr>
                <w:rFonts w:cstheme="minorHAnsi"/>
              </w:rPr>
              <w:t xml:space="preserve">Under </w:t>
            </w:r>
            <w:r w:rsidRPr="00B24338">
              <w:rPr>
                <w:rFonts w:cstheme="minorHAnsi"/>
              </w:rPr>
              <w:t>the Bangladesh Tour Operators and Tour Guides (Registration and Operation) Act</w:t>
            </w:r>
            <w:r>
              <w:rPr>
                <w:rFonts w:cstheme="minorHAnsi"/>
              </w:rPr>
              <w:t xml:space="preserve"> </w:t>
            </w:r>
            <w:r w:rsidRPr="00B24338">
              <w:rPr>
                <w:rFonts w:cstheme="minorHAnsi"/>
              </w:rPr>
              <w:t>the license to act as a tourism operator can be revoked if the person holding the registration is penalised under criminal law</w:t>
            </w:r>
            <w:r>
              <w:rPr>
                <w:rFonts w:cstheme="minorHAnsi"/>
              </w:rPr>
              <w:t>.</w:t>
            </w:r>
          </w:p>
        </w:tc>
      </w:tr>
      <w:tr w:rsidR="00A21390" w:rsidRPr="00680020" w14:paraId="30AF292A" w14:textId="77777777" w:rsidTr="00A21390">
        <w:trPr>
          <w:trHeight w:val="720"/>
        </w:trPr>
        <w:tc>
          <w:tcPr>
            <w:tcW w:w="425" w:type="dxa"/>
          </w:tcPr>
          <w:p w14:paraId="38D76301" w14:textId="77777777" w:rsidR="00A21390" w:rsidRPr="00680020" w:rsidRDefault="00A21390" w:rsidP="00C33EAA">
            <w:pPr>
              <w:pStyle w:val="Paragrafoelenco"/>
              <w:numPr>
                <w:ilvl w:val="0"/>
                <w:numId w:val="2"/>
              </w:numPr>
              <w:spacing w:line="240" w:lineRule="auto"/>
              <w:rPr>
                <w:rFonts w:asciiTheme="minorHAnsi" w:hAnsiTheme="minorHAnsi" w:cstheme="minorHAnsi"/>
                <w:lang w:val="en-GB"/>
              </w:rPr>
            </w:pPr>
          </w:p>
        </w:tc>
        <w:tc>
          <w:tcPr>
            <w:tcW w:w="5529" w:type="dxa"/>
          </w:tcPr>
          <w:p w14:paraId="39FE00A5" w14:textId="69990F8B" w:rsidR="00A21390" w:rsidRPr="00680020" w:rsidRDefault="00A21390" w:rsidP="00C33EAA">
            <w:pPr>
              <w:rPr>
                <w:rFonts w:cstheme="minorHAnsi"/>
                <w:lang w:val="en-GB"/>
              </w:rPr>
            </w:pPr>
            <w:r w:rsidRPr="00A160C0">
              <w:rPr>
                <w:rFonts w:ascii="Calibri" w:eastAsia="Calibri" w:hAnsi="Calibri" w:cs="Calibri"/>
              </w:rPr>
              <w:t xml:space="preserve">Criminalise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law) including through Internet and other communication technologies to facilitate either online or offline sexual exploitation.</w:t>
            </w:r>
          </w:p>
        </w:tc>
        <w:tc>
          <w:tcPr>
            <w:tcW w:w="1701" w:type="dxa"/>
          </w:tcPr>
          <w:p w14:paraId="606B8744" w14:textId="36049A1D"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w:t>
            </w:r>
            <w:r w:rsidR="009C2861">
              <w:rPr>
                <w:rFonts w:cstheme="minorHAnsi"/>
                <w:bCs/>
                <w:color w:val="000000" w:themeColor="text1"/>
                <w:lang w:val="en-GB"/>
              </w:rPr>
              <w:t>No</w:t>
            </w:r>
          </w:p>
        </w:tc>
        <w:tc>
          <w:tcPr>
            <w:tcW w:w="6520" w:type="dxa"/>
          </w:tcPr>
          <w:p w14:paraId="06B189A5" w14:textId="77777777" w:rsidR="00D93323" w:rsidRDefault="00D93323" w:rsidP="00D93323">
            <w:pPr>
              <w:jc w:val="both"/>
              <w:rPr>
                <w:shd w:val="clear" w:color="auto" w:fill="FFFFFF"/>
                <w:lang w:val="en-GB"/>
              </w:rPr>
            </w:pPr>
            <w:r>
              <w:rPr>
                <w:rFonts w:ascii="Calibri" w:hAnsi="Calibri" w:cs="Calibri"/>
              </w:rPr>
              <w:t xml:space="preserve">The national legislation does not criminalise grooming. Notwithstanding, the Children Act of 2013 sets forth in Section 78 the offence of “leading or encouraging a child to seduction”. Further, </w:t>
            </w:r>
            <w:r w:rsidRPr="0030174A">
              <w:rPr>
                <w:rFonts w:ascii="Calibri" w:hAnsi="Calibri" w:cs="Calibri"/>
                <w:shd w:val="clear" w:color="auto" w:fill="FFFFFF"/>
                <w:lang w:val="en-GB"/>
              </w:rPr>
              <w:t xml:space="preserve">Section 8(1) </w:t>
            </w:r>
            <w:r>
              <w:rPr>
                <w:rFonts w:ascii="Calibri" w:hAnsi="Calibri" w:cs="Calibri"/>
                <w:shd w:val="clear" w:color="auto" w:fill="FFFFFF"/>
                <w:lang w:val="en-GB"/>
              </w:rPr>
              <w:t xml:space="preserve">of the Pornography Control Act </w:t>
            </w:r>
            <w:r w:rsidRPr="0030174A">
              <w:rPr>
                <w:rFonts w:ascii="Calibri" w:hAnsi="Calibri" w:cs="Calibri"/>
                <w:shd w:val="clear" w:color="auto" w:fill="FFFFFF"/>
                <w:lang w:val="en-GB"/>
              </w:rPr>
              <w:t>provides that any person soliciting any woman, man</w:t>
            </w:r>
            <w:r>
              <w:rPr>
                <w:rFonts w:ascii="Calibri" w:hAnsi="Calibri" w:cs="Calibri"/>
                <w:shd w:val="clear" w:color="auto" w:fill="FFFFFF"/>
                <w:lang w:val="en-GB"/>
              </w:rPr>
              <w:t>,</w:t>
            </w:r>
            <w:r w:rsidRPr="0030174A">
              <w:rPr>
                <w:rFonts w:ascii="Calibri" w:hAnsi="Calibri" w:cs="Calibri"/>
                <w:shd w:val="clear" w:color="auto" w:fill="FFFFFF"/>
                <w:lang w:val="en-GB"/>
              </w:rPr>
              <w:t xml:space="preserve"> or child to participate in pornography commits a crime.</w:t>
            </w:r>
            <w:r w:rsidRPr="0030174A">
              <w:rPr>
                <w:shd w:val="clear" w:color="auto" w:fill="FFFFFF"/>
                <w:lang w:val="en-GB"/>
              </w:rPr>
              <w:t> </w:t>
            </w:r>
          </w:p>
          <w:p w14:paraId="183126EE" w14:textId="63FA3736" w:rsidR="00A21390" w:rsidRPr="00680020" w:rsidRDefault="00D93323" w:rsidP="00D93323">
            <w:pPr>
              <w:rPr>
                <w:rFonts w:cstheme="minorHAnsi"/>
                <w:lang w:val="en-GB"/>
              </w:rPr>
            </w:pPr>
            <w:r w:rsidRPr="0030174A">
              <w:rPr>
                <w:rFonts w:ascii="Calibri" w:hAnsi="Calibri" w:cs="Calibri"/>
                <w:shd w:val="clear" w:color="auto" w:fill="FFFFFF"/>
                <w:lang w:val="en-GB"/>
              </w:rPr>
              <w:t>These sections could be invoked to cover cases relating to grooming.</w:t>
            </w:r>
          </w:p>
        </w:tc>
      </w:tr>
      <w:tr w:rsidR="00A21390" w:rsidRPr="00680020" w14:paraId="0A518CF9" w14:textId="77777777" w:rsidTr="00A21390">
        <w:trPr>
          <w:trHeight w:val="576"/>
        </w:trPr>
        <w:tc>
          <w:tcPr>
            <w:tcW w:w="425" w:type="dxa"/>
          </w:tcPr>
          <w:p w14:paraId="4ACB0CA5" w14:textId="77777777" w:rsidR="00A21390" w:rsidRPr="00680020" w:rsidRDefault="00A21390" w:rsidP="00C33EAA">
            <w:pPr>
              <w:pStyle w:val="Paragrafoelenco"/>
              <w:numPr>
                <w:ilvl w:val="0"/>
                <w:numId w:val="2"/>
              </w:numPr>
              <w:spacing w:line="240" w:lineRule="auto"/>
              <w:rPr>
                <w:rFonts w:asciiTheme="minorHAnsi" w:hAnsiTheme="minorHAnsi" w:cstheme="minorHAnsi"/>
                <w:lang w:val="en-GB"/>
              </w:rPr>
            </w:pPr>
          </w:p>
        </w:tc>
        <w:tc>
          <w:tcPr>
            <w:tcW w:w="5529" w:type="dxa"/>
          </w:tcPr>
          <w:p w14:paraId="6AB0EE5B" w14:textId="77777777" w:rsidR="00A21390" w:rsidRPr="00680020" w:rsidRDefault="00A21390" w:rsidP="00C33EAA">
            <w:pPr>
              <w:rPr>
                <w:rFonts w:cstheme="minorHAns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work with or for children or who is currently working with or for children. Introduce legislation prohibiting </w:t>
            </w:r>
            <w:r w:rsidRPr="00A160C0">
              <w:rPr>
                <w:rFonts w:ascii="Calibri" w:eastAsia="Calibri" w:hAnsi="Calibri" w:cs="Calibri"/>
              </w:rPr>
              <w:lastRenderedPageBreak/>
              <w:t>convicted sex offenders to hold positions involving or facilitating contact with children.</w:t>
            </w:r>
          </w:p>
        </w:tc>
        <w:tc>
          <w:tcPr>
            <w:tcW w:w="1701" w:type="dxa"/>
          </w:tcPr>
          <w:p w14:paraId="20B4FFC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lastRenderedPageBreak/>
              <w:t>No</w:t>
            </w:r>
          </w:p>
        </w:tc>
        <w:tc>
          <w:tcPr>
            <w:tcW w:w="6520" w:type="dxa"/>
          </w:tcPr>
          <w:p w14:paraId="6A2436A7" w14:textId="09C371B5" w:rsidR="00A21390" w:rsidRPr="00680020" w:rsidRDefault="00A21390" w:rsidP="00C33EAA">
            <w:pPr>
              <w:rPr>
                <w:rFonts w:cstheme="minorHAnsi"/>
                <w:lang w:val="en-GB"/>
              </w:rPr>
            </w:pPr>
          </w:p>
        </w:tc>
      </w:tr>
      <w:tr w:rsidR="00A21390" w:rsidRPr="00680020" w14:paraId="33B6D015" w14:textId="77777777" w:rsidTr="00A21390">
        <w:trPr>
          <w:trHeight w:val="576"/>
        </w:trPr>
        <w:tc>
          <w:tcPr>
            <w:tcW w:w="425" w:type="dxa"/>
          </w:tcPr>
          <w:p w14:paraId="7599D9F0" w14:textId="77777777" w:rsidR="00A21390" w:rsidRPr="00680020" w:rsidRDefault="00A21390" w:rsidP="00C33EAA">
            <w:pPr>
              <w:pStyle w:val="Paragrafoelenco"/>
              <w:numPr>
                <w:ilvl w:val="0"/>
                <w:numId w:val="2"/>
              </w:numPr>
              <w:spacing w:line="240" w:lineRule="auto"/>
              <w:rPr>
                <w:rFonts w:asciiTheme="minorHAnsi" w:hAnsiTheme="minorHAnsi" w:cstheme="minorHAnsi"/>
                <w:lang w:val="en-GB"/>
              </w:rPr>
            </w:pPr>
          </w:p>
        </w:tc>
        <w:tc>
          <w:tcPr>
            <w:tcW w:w="5529" w:type="dxa"/>
          </w:tcPr>
          <w:p w14:paraId="2A4AAFD8" w14:textId="77777777" w:rsidR="00A21390" w:rsidRPr="00680020" w:rsidRDefault="00A21390" w:rsidP="00C33EAA">
            <w:pPr>
              <w:rPr>
                <w:rFonts w:cstheme="minorHAnsi"/>
                <w:lang w:val="en-GB"/>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in settings and activities that involve direct contact with children, particularly prohibiting visits to orphanages/residential care settings in favour of redirecting the industry towards solutions that support community-based care.</w:t>
            </w:r>
          </w:p>
        </w:tc>
        <w:tc>
          <w:tcPr>
            <w:tcW w:w="1701" w:type="dxa"/>
          </w:tcPr>
          <w:p w14:paraId="0E48BB6D"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No </w:t>
            </w:r>
          </w:p>
        </w:tc>
        <w:tc>
          <w:tcPr>
            <w:tcW w:w="6520" w:type="dxa"/>
          </w:tcPr>
          <w:p w14:paraId="174B02CA" w14:textId="77777777" w:rsidR="00A21390" w:rsidRPr="00680020" w:rsidRDefault="00A21390" w:rsidP="00C33EAA">
            <w:pPr>
              <w:rPr>
                <w:rFonts w:cstheme="minorHAnsi"/>
                <w:lang w:val="en-GB"/>
              </w:rPr>
            </w:pPr>
          </w:p>
        </w:tc>
      </w:tr>
      <w:tr w:rsidR="00A21390" w:rsidRPr="00680020" w14:paraId="4A1A0F88" w14:textId="77777777" w:rsidTr="00A21390">
        <w:trPr>
          <w:trHeight w:val="2684"/>
        </w:trPr>
        <w:tc>
          <w:tcPr>
            <w:tcW w:w="425" w:type="dxa"/>
          </w:tcPr>
          <w:p w14:paraId="07598129" w14:textId="77777777" w:rsidR="00A21390" w:rsidRPr="00680020" w:rsidRDefault="00A21390" w:rsidP="00C33EAA">
            <w:pPr>
              <w:pStyle w:val="Paragrafoelenco"/>
              <w:numPr>
                <w:ilvl w:val="0"/>
                <w:numId w:val="2"/>
              </w:numPr>
              <w:spacing w:line="240" w:lineRule="auto"/>
              <w:rPr>
                <w:rFonts w:asciiTheme="minorHAnsi" w:hAnsiTheme="minorHAnsi" w:cstheme="minorHAnsi"/>
                <w:lang w:val="en-GB"/>
              </w:rPr>
            </w:pPr>
          </w:p>
        </w:tc>
        <w:tc>
          <w:tcPr>
            <w:tcW w:w="5529" w:type="dxa"/>
          </w:tcPr>
          <w:p w14:paraId="0FBCB8F8" w14:textId="77777777" w:rsidR="00A21390" w:rsidRPr="00680020" w:rsidRDefault="00A21390" w:rsidP="00C33EAA">
            <w:pPr>
              <w:rPr>
                <w:rFonts w:cstheme="minorHAnsi"/>
                <w:lang w:val="en-GB"/>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701" w:type="dxa"/>
          </w:tcPr>
          <w:p w14:paraId="5610C8F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04F56714" w14:textId="77777777" w:rsidR="00D93323" w:rsidRPr="00406F94" w:rsidRDefault="00D93323" w:rsidP="00D93323">
            <w:pPr>
              <w:pStyle w:val="Paragrafoelenco"/>
              <w:numPr>
                <w:ilvl w:val="0"/>
                <w:numId w:val="1"/>
              </w:numPr>
              <w:ind w:hanging="252"/>
              <w:rPr>
                <w:rFonts w:ascii="Calibri" w:eastAsia="Times New Roman" w:hAnsi="Calibri" w:cs="Calibri"/>
                <w:lang w:val="en-GB"/>
              </w:rPr>
            </w:pPr>
            <w:r w:rsidRPr="00406F94">
              <w:rPr>
                <w:rFonts w:ascii="Calibri" w:eastAsia="Times New Roman" w:hAnsi="Calibri" w:cs="Calibri"/>
                <w:lang w:val="en-GB"/>
              </w:rPr>
              <w:t xml:space="preserve">Convention on the Rights of the Child (CRC) </w:t>
            </w:r>
            <w:r w:rsidRPr="00406F94">
              <w:rPr>
                <w:rFonts w:ascii="Calibri" w:eastAsia="Times New Roman" w:hAnsi="Calibri" w:cs="Calibri"/>
                <w:color w:val="146B42"/>
                <w:lang w:val="en-GB"/>
              </w:rPr>
              <w:t>Ratified in</w:t>
            </w:r>
            <w:r>
              <w:rPr>
                <w:rFonts w:ascii="Calibri" w:eastAsia="Times New Roman" w:hAnsi="Calibri" w:cs="Calibri"/>
                <w:color w:val="146B42"/>
                <w:lang w:val="en-GB"/>
              </w:rPr>
              <w:t xml:space="preserve"> 1990. </w:t>
            </w:r>
          </w:p>
          <w:p w14:paraId="55802143" w14:textId="77777777" w:rsidR="00D93323" w:rsidRPr="00406F94" w:rsidRDefault="00D93323" w:rsidP="00D93323">
            <w:pPr>
              <w:pStyle w:val="Paragrafoelenco"/>
              <w:numPr>
                <w:ilvl w:val="0"/>
                <w:numId w:val="1"/>
              </w:numPr>
              <w:ind w:hanging="252"/>
              <w:rPr>
                <w:rFonts w:ascii="Calibri" w:eastAsia="Times New Roman" w:hAnsi="Calibri" w:cs="Calibri"/>
                <w:lang w:val="en-GB"/>
              </w:rPr>
            </w:pPr>
            <w:r w:rsidRPr="00406F94">
              <w:rPr>
                <w:rFonts w:ascii="Calibri" w:eastAsia="Times New Roman" w:hAnsi="Calibri" w:cs="Calibri"/>
                <w:lang w:val="en-GB"/>
              </w:rPr>
              <w:t xml:space="preserve">Optional Protocol to the CRC on the Sale of Children, Child Prostitution and Child Pornography </w:t>
            </w:r>
            <w:r w:rsidRPr="00406F94">
              <w:rPr>
                <w:rFonts w:ascii="Calibri" w:eastAsia="Times New Roman" w:hAnsi="Calibri" w:cs="Calibri"/>
                <w:color w:val="146B42"/>
                <w:lang w:val="en-GB"/>
              </w:rPr>
              <w:t>Ratified in</w:t>
            </w:r>
            <w:r>
              <w:rPr>
                <w:rFonts w:ascii="Calibri" w:eastAsia="Times New Roman" w:hAnsi="Calibri" w:cs="Calibri"/>
                <w:color w:val="146B42"/>
                <w:lang w:val="en-GB"/>
              </w:rPr>
              <w:t xml:space="preserve"> 2002. </w:t>
            </w:r>
          </w:p>
          <w:p w14:paraId="2F88ED9E" w14:textId="77777777" w:rsidR="00D93323" w:rsidRPr="00406F94" w:rsidRDefault="00D93323" w:rsidP="00D93323">
            <w:pPr>
              <w:pStyle w:val="Paragrafoelenco"/>
              <w:numPr>
                <w:ilvl w:val="0"/>
                <w:numId w:val="1"/>
              </w:numPr>
              <w:ind w:hanging="252"/>
              <w:rPr>
                <w:rFonts w:ascii="Calibri" w:eastAsia="Times New Roman" w:hAnsi="Calibri" w:cs="Calibri"/>
                <w:lang w:val="en-GB"/>
              </w:rPr>
            </w:pPr>
            <w:r w:rsidRPr="00406F94">
              <w:rPr>
                <w:rFonts w:ascii="Calibri" w:eastAsia="Times New Roman" w:hAnsi="Calibri" w:cs="Calibri"/>
                <w:lang w:val="en-GB"/>
              </w:rPr>
              <w:t xml:space="preserve">Optional Protocol to the CRC on a Communications Procedure (OP3 CRC) </w:t>
            </w:r>
            <w:r w:rsidRPr="00406F94">
              <w:rPr>
                <w:rFonts w:ascii="Calibri" w:eastAsia="Times New Roman" w:hAnsi="Calibri" w:cs="Calibri"/>
                <w:color w:val="FF0000"/>
                <w:lang w:val="en-GB"/>
              </w:rPr>
              <w:t>N</w:t>
            </w:r>
            <w:r>
              <w:rPr>
                <w:rFonts w:ascii="Calibri" w:eastAsia="Times New Roman" w:hAnsi="Calibri" w:cs="Calibri"/>
                <w:color w:val="FF0000"/>
                <w:lang w:val="en-GB"/>
              </w:rPr>
              <w:t xml:space="preserve">ot signed. </w:t>
            </w:r>
          </w:p>
          <w:p w14:paraId="33109DEA" w14:textId="77777777" w:rsidR="00D93323" w:rsidRPr="00406F94" w:rsidRDefault="00D93323" w:rsidP="00D93323">
            <w:pPr>
              <w:pStyle w:val="Paragrafoelenco"/>
              <w:numPr>
                <w:ilvl w:val="0"/>
                <w:numId w:val="1"/>
              </w:numPr>
              <w:ind w:hanging="252"/>
              <w:rPr>
                <w:rFonts w:ascii="Calibri" w:eastAsia="Times New Roman" w:hAnsi="Calibri" w:cs="Calibri"/>
                <w:lang w:val="en-GB"/>
              </w:rPr>
            </w:pPr>
            <w:r w:rsidRPr="00406F94">
              <w:rPr>
                <w:rFonts w:ascii="Calibri" w:eastAsia="Times New Roman" w:hAnsi="Calibri" w:cs="Calibri"/>
                <w:lang w:val="en-GB"/>
              </w:rPr>
              <w:t>Protocol to Prevent, Suppress and Punish Trafficking in Persons, especially Women and Children</w:t>
            </w:r>
            <w:r>
              <w:rPr>
                <w:rFonts w:ascii="Calibri" w:eastAsia="Times New Roman" w:hAnsi="Calibri" w:cs="Calibri"/>
                <w:lang w:val="en-GB"/>
              </w:rPr>
              <w:t xml:space="preserve"> </w:t>
            </w:r>
            <w:r>
              <w:rPr>
                <w:rFonts w:ascii="Calibri" w:eastAsia="Times New Roman" w:hAnsi="Calibri" w:cs="Calibri"/>
                <w:color w:val="146B42"/>
                <w:lang w:val="en-GB"/>
              </w:rPr>
              <w:t xml:space="preserve">Acceded in 2019. </w:t>
            </w:r>
          </w:p>
          <w:p w14:paraId="1F86F9D8" w14:textId="77777777" w:rsidR="00D93323" w:rsidRPr="00DF4CA6" w:rsidRDefault="00D93323" w:rsidP="00D93323">
            <w:pPr>
              <w:pStyle w:val="Paragrafoelenco"/>
              <w:numPr>
                <w:ilvl w:val="0"/>
                <w:numId w:val="1"/>
              </w:numPr>
              <w:ind w:hanging="252"/>
              <w:rPr>
                <w:rFonts w:ascii="Calibri" w:eastAsia="Times New Roman" w:hAnsi="Calibri" w:cs="Calibri"/>
                <w:lang w:val="en-GB"/>
              </w:rPr>
            </w:pPr>
            <w:r w:rsidRPr="00406F94">
              <w:rPr>
                <w:rFonts w:ascii="Calibri" w:eastAsia="Times New Roman" w:hAnsi="Calibri" w:cs="Calibri"/>
                <w:lang w:val="en-GB"/>
              </w:rPr>
              <w:t xml:space="preserve">ILO Convention concerning the Prohibition and Immediate Action for the Elimination of the Worst Forms of Child Labour No.182 </w:t>
            </w:r>
            <w:r w:rsidRPr="00406F94">
              <w:rPr>
                <w:rFonts w:ascii="Calibri" w:eastAsia="Times New Roman" w:hAnsi="Calibri" w:cs="Calibri"/>
                <w:color w:val="146B42"/>
                <w:lang w:val="en-GB"/>
              </w:rPr>
              <w:t xml:space="preserve">Ratified </w:t>
            </w:r>
            <w:r>
              <w:rPr>
                <w:rFonts w:ascii="Calibri" w:eastAsia="Times New Roman" w:hAnsi="Calibri" w:cs="Calibri"/>
                <w:color w:val="146B42"/>
                <w:lang w:val="en-GB"/>
              </w:rPr>
              <w:t xml:space="preserve">in 2001.  </w:t>
            </w:r>
          </w:p>
          <w:p w14:paraId="182B9329" w14:textId="77777777" w:rsidR="00D93323" w:rsidRPr="00DF4CA6" w:rsidRDefault="00D93323" w:rsidP="00D93323">
            <w:pPr>
              <w:pStyle w:val="Paragrafoelenco"/>
              <w:numPr>
                <w:ilvl w:val="0"/>
                <w:numId w:val="1"/>
              </w:numPr>
              <w:ind w:hanging="252"/>
              <w:rPr>
                <w:rFonts w:ascii="Calibri" w:eastAsia="Times New Roman" w:hAnsi="Calibri" w:cs="Calibri"/>
                <w:lang w:val="en-GB"/>
              </w:rPr>
            </w:pPr>
            <w:r w:rsidRPr="00DF4CA6">
              <w:rPr>
                <w:rFonts w:ascii="Calibri" w:hAnsi="Calibri" w:cs="Calibri"/>
              </w:rPr>
              <w:t>SAARC Convention on Preventing and Combating Trafficking in Women and Children</w:t>
            </w:r>
            <w:r>
              <w:rPr>
                <w:rFonts w:ascii="Calibri" w:hAnsi="Calibri" w:cs="Calibri"/>
              </w:rPr>
              <w:t xml:space="preserve"> </w:t>
            </w:r>
            <w:r w:rsidRPr="00406F94">
              <w:rPr>
                <w:rFonts w:ascii="Calibri" w:eastAsia="Times New Roman" w:hAnsi="Calibri" w:cs="Calibri"/>
                <w:color w:val="146B42"/>
                <w:lang w:val="en-GB"/>
              </w:rPr>
              <w:t>Ratified in</w:t>
            </w:r>
            <w:r>
              <w:rPr>
                <w:rFonts w:ascii="Calibri" w:eastAsia="Times New Roman" w:hAnsi="Calibri" w:cs="Calibri"/>
                <w:color w:val="146B42"/>
                <w:lang w:val="en-GB"/>
              </w:rPr>
              <w:t xml:space="preserve"> 2002.</w:t>
            </w:r>
          </w:p>
          <w:p w14:paraId="5AB94E81" w14:textId="77777777" w:rsidR="00D93323" w:rsidRPr="00CA394E" w:rsidRDefault="00D93323" w:rsidP="00D93323">
            <w:pPr>
              <w:pStyle w:val="Paragrafoelenco"/>
              <w:numPr>
                <w:ilvl w:val="0"/>
                <w:numId w:val="1"/>
              </w:numPr>
              <w:ind w:hanging="252"/>
              <w:rPr>
                <w:rFonts w:ascii="Calibri" w:eastAsia="Times New Roman" w:hAnsi="Calibri" w:cs="Calibri"/>
                <w:lang w:val="en-GB"/>
              </w:rPr>
            </w:pPr>
            <w:r w:rsidRPr="00DF4CA6">
              <w:rPr>
                <w:rFonts w:ascii="Calibri" w:hAnsi="Calibri" w:cs="Calibri"/>
              </w:rPr>
              <w:t>SAARC Convention on Regional Arrangements for the Promotion of Child Welfare in South Asia</w:t>
            </w:r>
            <w:r>
              <w:rPr>
                <w:rFonts w:ascii="Calibri" w:hAnsi="Calibri" w:cs="Calibri"/>
              </w:rPr>
              <w:t xml:space="preserve"> </w:t>
            </w:r>
            <w:r w:rsidRPr="00406F94">
              <w:rPr>
                <w:rFonts w:ascii="Calibri" w:eastAsia="Times New Roman" w:hAnsi="Calibri" w:cs="Calibri"/>
                <w:color w:val="146B42"/>
                <w:lang w:val="en-GB"/>
              </w:rPr>
              <w:t xml:space="preserve">Ratified </w:t>
            </w:r>
            <w:r>
              <w:rPr>
                <w:rFonts w:ascii="Calibri" w:eastAsia="Times New Roman" w:hAnsi="Calibri" w:cs="Calibri"/>
                <w:color w:val="146B42"/>
                <w:lang w:val="en-GB"/>
              </w:rPr>
              <w:t>in 2002.</w:t>
            </w:r>
          </w:p>
          <w:p w14:paraId="621B3DAD" w14:textId="12059710" w:rsidR="00A21390" w:rsidRPr="00F93302" w:rsidRDefault="00D93323" w:rsidP="00D93323">
            <w:pPr>
              <w:widowControl w:val="0"/>
              <w:ind w:left="360"/>
              <w:rPr>
                <w:rFonts w:ascii="Calibri" w:eastAsia="Calibri" w:hAnsi="Calibri" w:cs="Calibri"/>
              </w:rPr>
            </w:pPr>
            <w:r w:rsidRPr="00CA394E">
              <w:rPr>
                <w:rFonts w:ascii="Calibri" w:eastAsia="Times New Roman" w:hAnsi="Calibri" w:cs="Calibri"/>
                <w:lang w:val="en-GB"/>
              </w:rPr>
              <w:t xml:space="preserve">UNWTO Convention on Tourism Ethics </w:t>
            </w:r>
            <w:r w:rsidRPr="00CA394E">
              <w:rPr>
                <w:rFonts w:ascii="Calibri" w:eastAsia="Times New Roman" w:hAnsi="Calibri" w:cs="Calibri"/>
                <w:color w:val="FF0000"/>
                <w:lang w:val="en-GB"/>
              </w:rPr>
              <w:t>Not signed.</w:t>
            </w:r>
          </w:p>
        </w:tc>
      </w:tr>
      <w:tr w:rsidR="00A21390" w:rsidRPr="00680020" w14:paraId="7C23846E" w14:textId="77777777" w:rsidTr="00A21390">
        <w:trPr>
          <w:trHeight w:val="1280"/>
        </w:trPr>
        <w:tc>
          <w:tcPr>
            <w:tcW w:w="425" w:type="dxa"/>
          </w:tcPr>
          <w:p w14:paraId="64D2ADA5" w14:textId="77777777" w:rsidR="00A21390" w:rsidRPr="00680020" w:rsidRDefault="00A21390" w:rsidP="00C33EAA">
            <w:pPr>
              <w:pStyle w:val="Paragrafoelenco"/>
              <w:numPr>
                <w:ilvl w:val="0"/>
                <w:numId w:val="2"/>
              </w:numPr>
              <w:spacing w:line="240" w:lineRule="auto"/>
              <w:rPr>
                <w:rFonts w:asciiTheme="minorHAnsi" w:hAnsiTheme="minorHAnsi" w:cstheme="minorHAnsi"/>
                <w:lang w:val="en-GB"/>
              </w:rPr>
            </w:pPr>
          </w:p>
        </w:tc>
        <w:tc>
          <w:tcPr>
            <w:tcW w:w="5529" w:type="dxa"/>
          </w:tcPr>
          <w:p w14:paraId="015C7999" w14:textId="77777777" w:rsidR="00A21390" w:rsidRPr="00680020" w:rsidRDefault="00A21390" w:rsidP="00C33EAA">
            <w:pPr>
              <w:rPr>
                <w:rFonts w:cstheme="minorHAnsi"/>
                <w:lang w:val="en-GB"/>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701" w:type="dxa"/>
          </w:tcPr>
          <w:p w14:paraId="53B19036"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77A67E63" w14:textId="77777777" w:rsidR="00D93323" w:rsidRDefault="00D93323" w:rsidP="00D93323">
            <w:pPr>
              <w:jc w:val="both"/>
              <w:rPr>
                <w:rFonts w:ascii="Calibri" w:hAnsi="Calibri" w:cs="Calibri"/>
                <w:lang w:val="en-GB"/>
              </w:rPr>
            </w:pPr>
            <w:r>
              <w:rPr>
                <w:rFonts w:ascii="Calibri" w:hAnsi="Calibri" w:cs="Calibri"/>
                <w:lang w:val="en-GB"/>
              </w:rPr>
              <w:t xml:space="preserve">Section 54(3) of the Children Act provides certain measures to ensure protection and confidentiality of child victims during judicial proceedings. </w:t>
            </w:r>
          </w:p>
          <w:p w14:paraId="494B9C77" w14:textId="77777777" w:rsidR="00D93323" w:rsidRDefault="00D93323" w:rsidP="00D93323">
            <w:pPr>
              <w:jc w:val="both"/>
              <w:rPr>
                <w:rFonts w:ascii="Calibri" w:hAnsi="Calibri" w:cs="Calibri"/>
              </w:rPr>
            </w:pPr>
            <w:r>
              <w:rPr>
                <w:rFonts w:ascii="Calibri" w:hAnsi="Calibri" w:cs="Calibri"/>
                <w:lang w:val="en-GB"/>
              </w:rPr>
              <w:t xml:space="preserve">In addition, Section 58 of the Children Act allows the authority in supervision of a “child in contact with the law” to take protective/safety measures for the child to prevent him/her from any harm during any stage of the trial. Section 81 of the Children Act imposes penalty on media for publishing confidential information pertaining to a case or judicial proceeding under the Act. </w:t>
            </w:r>
          </w:p>
          <w:p w14:paraId="18B53E4B" w14:textId="74BE6ED9" w:rsidR="00A21390" w:rsidRPr="00680020" w:rsidRDefault="00D93323" w:rsidP="00D93323">
            <w:pPr>
              <w:rPr>
                <w:rFonts w:cstheme="minorHAnsi"/>
                <w:lang w:val="en-GB"/>
              </w:rPr>
            </w:pPr>
            <w:r>
              <w:rPr>
                <w:rFonts w:ascii="Calibri" w:hAnsi="Calibri" w:cs="Calibri"/>
              </w:rPr>
              <w:lastRenderedPageBreak/>
              <w:t xml:space="preserve">Likewise, Section </w:t>
            </w:r>
            <w:r w:rsidRPr="00B93C12">
              <w:rPr>
                <w:rFonts w:ascii="Calibri" w:hAnsi="Calibri" w:cs="Calibri"/>
              </w:rPr>
              <w:t>14</w:t>
            </w:r>
            <w:r>
              <w:rPr>
                <w:rFonts w:ascii="Calibri" w:hAnsi="Calibri" w:cs="Calibri"/>
              </w:rPr>
              <w:t xml:space="preserve"> of the Prevention of Oppression against Women and Children Act, 2000, prohibits media from publishing information about a woman or child victim.</w:t>
            </w:r>
          </w:p>
        </w:tc>
      </w:tr>
      <w:tr w:rsidR="00A21390" w:rsidRPr="00680020" w14:paraId="115EA3C7" w14:textId="77777777" w:rsidTr="00A21390">
        <w:trPr>
          <w:trHeight w:val="557"/>
        </w:trPr>
        <w:tc>
          <w:tcPr>
            <w:tcW w:w="425" w:type="dxa"/>
          </w:tcPr>
          <w:p w14:paraId="799C7136" w14:textId="77777777" w:rsidR="00A21390" w:rsidRPr="00680020" w:rsidRDefault="00A21390" w:rsidP="00C33EAA">
            <w:pPr>
              <w:pStyle w:val="Paragrafoelenco"/>
              <w:numPr>
                <w:ilvl w:val="0"/>
                <w:numId w:val="2"/>
              </w:numPr>
              <w:spacing w:line="240" w:lineRule="auto"/>
              <w:rPr>
                <w:rFonts w:asciiTheme="minorHAnsi" w:hAnsiTheme="minorHAnsi" w:cstheme="minorHAnsi"/>
                <w:lang w:val="en-GB"/>
              </w:rPr>
            </w:pPr>
          </w:p>
        </w:tc>
        <w:tc>
          <w:tcPr>
            <w:tcW w:w="5529" w:type="dxa"/>
          </w:tcPr>
          <w:p w14:paraId="01B00B33" w14:textId="77777777" w:rsidR="00A21390" w:rsidRPr="003F4A91" w:rsidRDefault="00A21390" w:rsidP="00C33EAA">
            <w:pPr>
              <w:spacing w:after="160" w:line="259" w:lineRule="auto"/>
              <w:jc w:val="both"/>
              <w:rPr>
                <w:rFonts w:asciiTheme="majorHAnsi" w:hAnsiTheme="majorHAnsi" w:cstheme="majorHAnsi"/>
              </w:rPr>
            </w:pPr>
            <w:r>
              <w:rPr>
                <w:rFonts w:asciiTheme="majorHAnsi" w:hAnsiTheme="majorHAnsi" w:cstheme="majorHAnsi"/>
              </w:rPr>
              <w:t xml:space="preserve">Establish </w:t>
            </w:r>
            <w:r w:rsidRPr="003F4A91">
              <w:rPr>
                <w:rFonts w:asciiTheme="majorHAnsi" w:hAnsiTheme="majorHAnsi" w:cstheme="majorHAnsi"/>
                <w:b/>
                <w:bCs/>
              </w:rPr>
              <w:t xml:space="preserve">child-friendly interviewing practices by professionally trained police. </w:t>
            </w:r>
          </w:p>
          <w:p w14:paraId="59AA4A44" w14:textId="77777777" w:rsidR="00A21390" w:rsidRPr="00210380" w:rsidRDefault="00A21390" w:rsidP="00C33EAA">
            <w:pPr>
              <w:rPr>
                <w:rFonts w:cstheme="minorHAnsi"/>
              </w:rPr>
            </w:pPr>
          </w:p>
        </w:tc>
        <w:tc>
          <w:tcPr>
            <w:tcW w:w="1701" w:type="dxa"/>
          </w:tcPr>
          <w:p w14:paraId="74EFE905"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617BEF03" w14:textId="7BC7577C" w:rsidR="00D93323" w:rsidRDefault="00D93323" w:rsidP="00D93323">
            <w:pPr>
              <w:jc w:val="both"/>
              <w:rPr>
                <w:rFonts w:ascii="Calibri" w:hAnsi="Calibri" w:cs="Calibri"/>
                <w:lang w:val="en-GB"/>
              </w:rPr>
            </w:pPr>
            <w:r>
              <w:rPr>
                <w:rFonts w:cstheme="minorHAnsi"/>
              </w:rPr>
              <w:t>Section 13 of the Children’s Actprovides for the establishment, in every police station, of Child Affairs desks, tasked with attending to all cases involving children and to organize immediate support to any child arriving at a police station</w:t>
            </w:r>
          </w:p>
          <w:p w14:paraId="478C8B67" w14:textId="77777777" w:rsidR="00D93323" w:rsidRDefault="00D93323" w:rsidP="00D93323">
            <w:pPr>
              <w:jc w:val="both"/>
              <w:rPr>
                <w:rFonts w:ascii="Calibri" w:hAnsi="Calibri" w:cs="Calibri"/>
                <w:lang w:val="en-GB"/>
              </w:rPr>
            </w:pPr>
          </w:p>
          <w:p w14:paraId="0D380014" w14:textId="6A8D3DE6" w:rsidR="00D93323" w:rsidRDefault="00D93323" w:rsidP="00D93323">
            <w:pPr>
              <w:jc w:val="both"/>
              <w:rPr>
                <w:rFonts w:ascii="Calibri" w:hAnsi="Calibri" w:cs="Calibri"/>
                <w:lang w:val="en-GB"/>
              </w:rPr>
            </w:pPr>
            <w:r>
              <w:rPr>
                <w:rFonts w:ascii="Calibri" w:hAnsi="Calibri" w:cs="Calibri"/>
                <w:lang w:val="en-GB"/>
              </w:rPr>
              <w:t xml:space="preserve">Section 54 of the Children Act exclusively deals with child-friendly interview methods for children in contact with the law. </w:t>
            </w:r>
          </w:p>
          <w:p w14:paraId="3867BC68" w14:textId="77777777" w:rsidR="00D93323" w:rsidRDefault="00D93323" w:rsidP="00D93323">
            <w:pPr>
              <w:jc w:val="both"/>
              <w:rPr>
                <w:rFonts w:ascii="Calibri" w:hAnsi="Calibri" w:cs="Calibri"/>
                <w:lang w:val="en-GB"/>
              </w:rPr>
            </w:pPr>
            <w:r>
              <w:rPr>
                <w:rFonts w:ascii="Calibri" w:hAnsi="Calibri" w:cs="Calibri"/>
                <w:lang w:val="en-GB"/>
              </w:rPr>
              <w:t xml:space="preserve">Furthermore, Section 16 of this Act provides for the establishment of Children’s courts and Section 17(1) gives exclusive jurisdiction to Children’s courts to try cases involving “children in contact with the law”. Section 19 deals with the environment and facilities of the Children’s courts. </w:t>
            </w:r>
          </w:p>
          <w:p w14:paraId="7EB3C402" w14:textId="77777777" w:rsidR="00D93323" w:rsidRDefault="00D93323" w:rsidP="00D93323">
            <w:pPr>
              <w:jc w:val="both"/>
              <w:rPr>
                <w:rFonts w:ascii="Calibri" w:hAnsi="Calibri" w:cs="Calibri"/>
                <w:lang w:val="en-GB"/>
              </w:rPr>
            </w:pPr>
            <w:r w:rsidRPr="001F7260">
              <w:rPr>
                <w:rFonts w:ascii="Calibri" w:hAnsi="Calibri" w:cs="Calibri"/>
                <w:lang w:val="en-GB"/>
              </w:rPr>
              <w:t>Section 55 of the Children Act</w:t>
            </w:r>
            <w:r>
              <w:rPr>
                <w:rFonts w:ascii="Calibri" w:hAnsi="Calibri" w:cs="Calibri"/>
                <w:lang w:val="en-GB"/>
              </w:rPr>
              <w:t xml:space="preserve"> deals with</w:t>
            </w:r>
            <w:r w:rsidRPr="001F7260">
              <w:rPr>
                <w:rFonts w:ascii="Calibri" w:hAnsi="Calibri" w:cs="Calibri"/>
                <w:lang w:val="en-GB"/>
              </w:rPr>
              <w:t xml:space="preserve"> legal rep</w:t>
            </w:r>
            <w:r>
              <w:rPr>
                <w:rFonts w:ascii="Calibri" w:hAnsi="Calibri" w:cs="Calibri"/>
                <w:lang w:val="en-GB"/>
              </w:rPr>
              <w:t xml:space="preserve">resentation for child victims. </w:t>
            </w:r>
          </w:p>
          <w:p w14:paraId="517385F3" w14:textId="77777777" w:rsidR="00D93323" w:rsidRDefault="00D93323" w:rsidP="00D93323">
            <w:pPr>
              <w:jc w:val="both"/>
              <w:rPr>
                <w:rFonts w:ascii="Calibri" w:hAnsi="Calibri" w:cs="Calibri"/>
              </w:rPr>
            </w:pPr>
            <w:r>
              <w:rPr>
                <w:rFonts w:ascii="Calibri" w:hAnsi="Calibri" w:cs="Calibri"/>
              </w:rPr>
              <w:t xml:space="preserve">Section </w:t>
            </w:r>
            <w:r w:rsidRPr="004F481B">
              <w:rPr>
                <w:rFonts w:ascii="Calibri" w:hAnsi="Calibri" w:cs="Calibri"/>
              </w:rPr>
              <w:t>38</w:t>
            </w:r>
            <w:r>
              <w:rPr>
                <w:rFonts w:ascii="Calibri" w:hAnsi="Calibri" w:cs="Calibri"/>
              </w:rPr>
              <w:t xml:space="preserve"> of PASHTA deals with</w:t>
            </w:r>
            <w:r w:rsidRPr="004F481B">
              <w:rPr>
                <w:rFonts w:ascii="Calibri" w:hAnsi="Calibri" w:cs="Calibri"/>
              </w:rPr>
              <w:t xml:space="preserve"> </w:t>
            </w:r>
            <w:r>
              <w:rPr>
                <w:rFonts w:ascii="Calibri" w:hAnsi="Calibri" w:cs="Calibri"/>
              </w:rPr>
              <w:t>p</w:t>
            </w:r>
            <w:r w:rsidRPr="004F481B">
              <w:rPr>
                <w:rFonts w:ascii="Calibri" w:hAnsi="Calibri" w:cs="Calibri"/>
              </w:rPr>
              <w:t>rotection of the rights of child victims and witnesses.</w:t>
            </w:r>
            <w:r>
              <w:rPr>
                <w:rFonts w:ascii="Calibri" w:hAnsi="Calibri" w:cs="Calibri"/>
              </w:rPr>
              <w:t xml:space="preserve"> It states that: </w:t>
            </w:r>
          </w:p>
          <w:p w14:paraId="57E6939E" w14:textId="77777777" w:rsidR="00D93323" w:rsidRPr="001F7260" w:rsidRDefault="00D93323" w:rsidP="00D93323">
            <w:pPr>
              <w:jc w:val="both"/>
              <w:rPr>
                <w:rFonts w:ascii="Calibri" w:hAnsi="Calibri" w:cs="Calibri"/>
                <w:lang w:val="en-GB"/>
              </w:rPr>
            </w:pPr>
            <w:r>
              <w:rPr>
                <w:rFonts w:ascii="Calibri" w:hAnsi="Calibri" w:cs="Calibri"/>
              </w:rPr>
              <w:t>“</w:t>
            </w:r>
            <w:r w:rsidRPr="004F481B">
              <w:rPr>
                <w:rFonts w:ascii="Calibri" w:hAnsi="Calibri" w:cs="Calibri"/>
              </w:rPr>
              <w:t xml:space="preserve">(l) Without prejudice to the generality of the provisions of this Act regarding the protection of the victims and witnesses, any person including the Tribunal dealing with a child victim or witness shall apply the principle of welfare and the best interest of the child and the principle of priority and follow the provisions of any other law for the time being in force as well as the principles in different international instruments, and take necessary measure to avoid the child victims </w:t>
            </w:r>
            <w:r>
              <w:rPr>
                <w:rFonts w:ascii="Calibri" w:hAnsi="Calibri" w:cs="Calibri"/>
              </w:rPr>
              <w:t>to be convicted or the stigmatis</w:t>
            </w:r>
            <w:r w:rsidRPr="004F481B">
              <w:rPr>
                <w:rFonts w:ascii="Calibri" w:hAnsi="Calibri" w:cs="Calibri"/>
              </w:rPr>
              <w:t>a</w:t>
            </w:r>
            <w:r>
              <w:rPr>
                <w:rFonts w:ascii="Calibri" w:hAnsi="Calibri" w:cs="Calibri"/>
              </w:rPr>
              <w:t>t</w:t>
            </w:r>
            <w:r w:rsidRPr="004F481B">
              <w:rPr>
                <w:rFonts w:ascii="Calibri" w:hAnsi="Calibri" w:cs="Calibri"/>
              </w:rPr>
              <w:t xml:space="preserve">ion and social marginalization of the child victim and the child witness. (2) No child coming in contact or conflict with this Act shall be dealt with by the police or the Government or any other person dealing with the subject matters of this act otherwise than through the intervention of a child-friendly officer and processes, and, no child victim of human trafficking or victim </w:t>
            </w:r>
            <w:r w:rsidRPr="004F481B">
              <w:rPr>
                <w:rFonts w:ascii="Calibri" w:hAnsi="Calibri" w:cs="Calibri"/>
              </w:rPr>
              <w:lastRenderedPageBreak/>
              <w:t>child shall be sent or detained in any development center or in a remand home</w:t>
            </w:r>
            <w:r>
              <w:rPr>
                <w:rFonts w:ascii="Calibri" w:hAnsi="Calibri" w:cs="Calibri"/>
              </w:rPr>
              <w:t>”</w:t>
            </w:r>
            <w:r w:rsidRPr="004F481B">
              <w:rPr>
                <w:rFonts w:ascii="Calibri" w:hAnsi="Calibri" w:cs="Calibri"/>
              </w:rPr>
              <w:t>.</w:t>
            </w:r>
          </w:p>
          <w:p w14:paraId="43B9F428" w14:textId="77777777" w:rsidR="00D93323" w:rsidRDefault="00D93323" w:rsidP="00D93323">
            <w:pPr>
              <w:jc w:val="both"/>
              <w:rPr>
                <w:rFonts w:ascii="Calibri" w:hAnsi="Calibri" w:cs="Calibri"/>
              </w:rPr>
            </w:pPr>
            <w:r>
              <w:rPr>
                <w:rFonts w:ascii="Calibri" w:hAnsi="Calibri" w:cs="Calibri"/>
              </w:rPr>
              <w:t xml:space="preserve">In addition, </w:t>
            </w:r>
            <w:r w:rsidRPr="001F7260">
              <w:rPr>
                <w:rFonts w:ascii="Calibri" w:hAnsi="Calibri" w:cs="Calibri"/>
              </w:rPr>
              <w:t>Section 25 of PASHTA provides for in camera trial for the interest of justice and to protect the child and woman victim.</w:t>
            </w:r>
            <w:r>
              <w:rPr>
                <w:rFonts w:ascii="Calibri" w:hAnsi="Calibri" w:cs="Calibri"/>
              </w:rPr>
              <w:t xml:space="preserve"> Section 26 of PASHTA provides for provision of interpreters and translations to the victims of trafficking. Section 27 of the Children Act contains similar provisions. </w:t>
            </w:r>
          </w:p>
          <w:p w14:paraId="2DAE74F6" w14:textId="77777777" w:rsidR="00A21390" w:rsidRPr="007847AD" w:rsidRDefault="00A21390" w:rsidP="00C33EAA">
            <w:pPr>
              <w:rPr>
                <w:rFonts w:eastAsia="Times New Roman" w:cstheme="minorHAnsi"/>
                <w:lang w:val="en-GB"/>
              </w:rPr>
            </w:pPr>
            <w:r>
              <w:rPr>
                <w:rFonts w:eastAsia="Times New Roman" w:cstheme="minorHAnsi"/>
                <w:lang w:val="en-GB"/>
              </w:rPr>
              <w:t>A Child Advocacy Centre does not exist in the country.</w:t>
            </w:r>
          </w:p>
          <w:p w14:paraId="18C9D0DE" w14:textId="77777777" w:rsidR="00A21390" w:rsidRPr="00680020" w:rsidRDefault="00A21390" w:rsidP="00C33EAA">
            <w:pPr>
              <w:rPr>
                <w:rFonts w:cstheme="minorHAnsi"/>
                <w:lang w:val="en-GB"/>
              </w:rPr>
            </w:pPr>
          </w:p>
        </w:tc>
      </w:tr>
      <w:tr w:rsidR="00A21390" w:rsidRPr="00680020" w14:paraId="3E1CDB0C" w14:textId="77777777" w:rsidTr="00A21390">
        <w:trPr>
          <w:trHeight w:val="557"/>
        </w:trPr>
        <w:tc>
          <w:tcPr>
            <w:tcW w:w="425" w:type="dxa"/>
          </w:tcPr>
          <w:p w14:paraId="76BDB593" w14:textId="77777777" w:rsidR="00A21390" w:rsidRPr="00680020" w:rsidRDefault="00A21390" w:rsidP="00C33EAA">
            <w:pPr>
              <w:pStyle w:val="Paragrafoelenco"/>
              <w:numPr>
                <w:ilvl w:val="0"/>
                <w:numId w:val="2"/>
              </w:numPr>
              <w:spacing w:line="240" w:lineRule="auto"/>
              <w:rPr>
                <w:rFonts w:asciiTheme="minorHAnsi" w:hAnsiTheme="minorHAnsi" w:cstheme="minorHAnsi"/>
                <w:lang w:val="en-GB"/>
              </w:rPr>
            </w:pPr>
          </w:p>
        </w:tc>
        <w:tc>
          <w:tcPr>
            <w:tcW w:w="5529" w:type="dxa"/>
          </w:tcPr>
          <w:p w14:paraId="66EBAFA7" w14:textId="77777777" w:rsidR="00A21390" w:rsidRPr="00680020" w:rsidRDefault="00A21390" w:rsidP="00C33EAA">
            <w:pPr>
              <w:rPr>
                <w:rFonts w:cstheme="minorHAns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701" w:type="dxa"/>
          </w:tcPr>
          <w:p w14:paraId="7ABE7F31"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62D4320A" w14:textId="77777777" w:rsidR="00D93323" w:rsidRDefault="00D93323" w:rsidP="00D93323">
            <w:pPr>
              <w:jc w:val="both"/>
              <w:rPr>
                <w:rFonts w:ascii="Calibri" w:hAnsi="Calibri" w:cs="Calibri"/>
              </w:rPr>
            </w:pPr>
            <w:r>
              <w:rPr>
                <w:rFonts w:ascii="Calibri" w:hAnsi="Calibri" w:cs="Calibri"/>
              </w:rPr>
              <w:t xml:space="preserve">Chapter X of the Children Act deals with alternative care arrangements. According to Section 84, such arrangements may be initiated for the welfare and best interest of children in contact with the law and to ensure their special care, protection and development needs. </w:t>
            </w:r>
          </w:p>
          <w:p w14:paraId="0190A3EB" w14:textId="77777777" w:rsidR="00D93323" w:rsidRDefault="00D93323" w:rsidP="00D93323">
            <w:pPr>
              <w:jc w:val="both"/>
              <w:rPr>
                <w:rFonts w:ascii="Calibri" w:hAnsi="Calibri" w:cs="Calibri"/>
              </w:rPr>
            </w:pPr>
            <w:r w:rsidRPr="00FB305F">
              <w:rPr>
                <w:rFonts w:ascii="Calibri" w:hAnsi="Calibri" w:cs="Calibri"/>
              </w:rPr>
              <w:t xml:space="preserve">Chapter V </w:t>
            </w:r>
            <w:r>
              <w:rPr>
                <w:rFonts w:ascii="Calibri" w:hAnsi="Calibri" w:cs="Calibri"/>
              </w:rPr>
              <w:t>of PASHTA deals with a</w:t>
            </w:r>
            <w:r w:rsidRPr="00FB305F">
              <w:rPr>
                <w:rFonts w:ascii="Calibri" w:hAnsi="Calibri" w:cs="Calibri"/>
              </w:rPr>
              <w:t xml:space="preserve">ssistance, protection and rehabilitation of the victims of human trafficking and witnesses. </w:t>
            </w:r>
          </w:p>
          <w:p w14:paraId="79227FB8" w14:textId="498A89C5" w:rsidR="00D93323" w:rsidRPr="00D93323" w:rsidRDefault="00D93323" w:rsidP="00D93323">
            <w:pPr>
              <w:rPr>
                <w:rFonts w:cstheme="minorHAnsi"/>
              </w:rPr>
            </w:pPr>
          </w:p>
          <w:p w14:paraId="54CFAC96" w14:textId="20A70BA8" w:rsidR="00A21390" w:rsidRPr="00680020" w:rsidRDefault="00A21390" w:rsidP="00C33EAA">
            <w:pPr>
              <w:rPr>
                <w:rFonts w:cstheme="minorHAnsi"/>
                <w:lang w:val="en-GB"/>
              </w:rPr>
            </w:pPr>
            <w:r w:rsidRPr="00680020">
              <w:rPr>
                <w:rFonts w:cstheme="minorHAnsi"/>
                <w:lang w:val="en-GB"/>
              </w:rPr>
              <w:t xml:space="preserve"> </w:t>
            </w:r>
          </w:p>
        </w:tc>
      </w:tr>
      <w:tr w:rsidR="00A21390" w:rsidRPr="00680020" w14:paraId="0B5C2495" w14:textId="77777777" w:rsidTr="00A21390">
        <w:trPr>
          <w:trHeight w:val="557"/>
        </w:trPr>
        <w:tc>
          <w:tcPr>
            <w:tcW w:w="425" w:type="dxa"/>
          </w:tcPr>
          <w:p w14:paraId="740C2C0E" w14:textId="77777777" w:rsidR="00A21390" w:rsidRPr="00680020" w:rsidRDefault="00A21390" w:rsidP="00C33EAA">
            <w:pPr>
              <w:pStyle w:val="Paragrafoelenco"/>
              <w:numPr>
                <w:ilvl w:val="0"/>
                <w:numId w:val="2"/>
              </w:numPr>
              <w:spacing w:line="240" w:lineRule="auto"/>
              <w:rPr>
                <w:rFonts w:asciiTheme="minorHAnsi" w:hAnsiTheme="minorHAnsi" w:cstheme="minorHAnsi"/>
                <w:lang w:val="en-GB"/>
              </w:rPr>
            </w:pPr>
          </w:p>
        </w:tc>
        <w:tc>
          <w:tcPr>
            <w:tcW w:w="5529" w:type="dxa"/>
          </w:tcPr>
          <w:p w14:paraId="120306FB" w14:textId="77777777" w:rsidR="00A21390" w:rsidRPr="00680020" w:rsidRDefault="00A21390" w:rsidP="00C33EAA">
            <w:pPr>
              <w:tabs>
                <w:tab w:val="left" w:pos="1470"/>
              </w:tabs>
              <w:rPr>
                <w:rFonts w:cstheme="minorHAns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(e.g. hotline)</w:t>
            </w:r>
            <w:r w:rsidRPr="003F4A91">
              <w:rPr>
                <w:rFonts w:ascii="Calibri" w:eastAsia="Calibri" w:hAnsi="Calibri" w:cs="Calibri"/>
              </w:rPr>
              <w:t xml:space="preserve"> that coordinates access to services, and helps to overcome reluctance to report sexual exploitation of children.</w:t>
            </w:r>
          </w:p>
        </w:tc>
        <w:tc>
          <w:tcPr>
            <w:tcW w:w="1701" w:type="dxa"/>
          </w:tcPr>
          <w:p w14:paraId="192F8242" w14:textId="53F9CE35" w:rsidR="00A21390" w:rsidRPr="00A20A79" w:rsidRDefault="00D93323"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1194BD94" w14:textId="77777777" w:rsidR="00A21390" w:rsidRDefault="00D93323" w:rsidP="00D93323">
            <w:pPr>
              <w:rPr>
                <w:rFonts w:cstheme="minorHAnsi"/>
              </w:rPr>
            </w:pPr>
            <w:r>
              <w:rPr>
                <w:rFonts w:cstheme="minorHAnsi"/>
              </w:rPr>
              <w:t>The Government of Bangladesh operates the National Helpline 109 for sexual violence crimes where children can seek help, advice and get information about reporting sexual exploitation crimes to authorities.</w:t>
            </w:r>
          </w:p>
          <w:p w14:paraId="47649C92" w14:textId="77777777" w:rsidR="00D93323" w:rsidRDefault="00D93323" w:rsidP="00D93323">
            <w:pPr>
              <w:rPr>
                <w:rFonts w:cstheme="minorHAnsi"/>
              </w:rPr>
            </w:pPr>
          </w:p>
          <w:p w14:paraId="4610BE2A" w14:textId="03A116C9" w:rsidR="00D93323" w:rsidRPr="00680020" w:rsidRDefault="00D93323" w:rsidP="00D93323">
            <w:pPr>
              <w:rPr>
                <w:rFonts w:cstheme="minorHAnsi"/>
                <w:lang w:val="en-GB"/>
              </w:rPr>
            </w:pPr>
          </w:p>
        </w:tc>
      </w:tr>
      <w:tr w:rsidR="00A21390" w:rsidRPr="00680020" w14:paraId="1A965A29" w14:textId="77777777" w:rsidTr="00A21390">
        <w:trPr>
          <w:trHeight w:val="557"/>
        </w:trPr>
        <w:tc>
          <w:tcPr>
            <w:tcW w:w="425" w:type="dxa"/>
          </w:tcPr>
          <w:p w14:paraId="68F41B01" w14:textId="77777777" w:rsidR="00A21390" w:rsidRPr="00680020" w:rsidRDefault="00A21390" w:rsidP="00C33EAA">
            <w:pPr>
              <w:pStyle w:val="Paragrafoelenco"/>
              <w:numPr>
                <w:ilvl w:val="0"/>
                <w:numId w:val="2"/>
              </w:numPr>
              <w:spacing w:line="240" w:lineRule="auto"/>
              <w:rPr>
                <w:rFonts w:asciiTheme="minorHAnsi" w:hAnsiTheme="minorHAnsi" w:cstheme="minorHAnsi"/>
                <w:lang w:val="en-GB"/>
              </w:rPr>
            </w:pPr>
          </w:p>
        </w:tc>
        <w:tc>
          <w:tcPr>
            <w:tcW w:w="5529" w:type="dxa"/>
          </w:tcPr>
          <w:p w14:paraId="77BCDC03" w14:textId="77777777" w:rsidR="00A21390" w:rsidRPr="00680020" w:rsidRDefault="00A21390" w:rsidP="00C33EAA">
            <w:pPr>
              <w:rPr>
                <w:rFonts w:cstheme="minorHAns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preservation laws,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r>
              <w:rPr>
                <w:rFonts w:ascii="Calibri" w:eastAsia="Calibri" w:hAnsi="Calibri" w:cs="Calibri"/>
              </w:rPr>
              <w:t>.</w:t>
            </w:r>
          </w:p>
        </w:tc>
        <w:tc>
          <w:tcPr>
            <w:tcW w:w="1701" w:type="dxa"/>
          </w:tcPr>
          <w:p w14:paraId="23515973" w14:textId="58D4DFFC" w:rsidR="00A21390" w:rsidRPr="00A20A79" w:rsidRDefault="00D93323" w:rsidP="00C33EAA">
            <w:pPr>
              <w:rPr>
                <w:rFonts w:cstheme="minorHAnsi"/>
                <w:bCs/>
                <w:color w:val="000000" w:themeColor="text1"/>
                <w:lang w:val="en-GB"/>
              </w:rPr>
            </w:pPr>
            <w:r>
              <w:rPr>
                <w:rFonts w:cstheme="minorHAnsi"/>
                <w:bCs/>
                <w:color w:val="000000" w:themeColor="text1"/>
                <w:lang w:val="en-GB"/>
              </w:rPr>
              <w:t>Partially</w:t>
            </w:r>
          </w:p>
        </w:tc>
        <w:tc>
          <w:tcPr>
            <w:tcW w:w="6520" w:type="dxa"/>
          </w:tcPr>
          <w:p w14:paraId="02E15C16" w14:textId="1F10DAAD" w:rsidR="00A21390" w:rsidRPr="00680020" w:rsidRDefault="00D93323" w:rsidP="00C33EAA">
            <w:pPr>
              <w:rPr>
                <w:rFonts w:cstheme="minorHAnsi"/>
                <w:lang w:val="en-GB"/>
              </w:rPr>
            </w:pPr>
            <w:r>
              <w:rPr>
                <w:rFonts w:ascii="Calibri" w:hAnsi="Calibri" w:cs="Calibri"/>
              </w:rPr>
              <w:t>Although ICT and the Digital Security Acts contain provisions for data retention and preservation, these do apply specifically to SEC</w:t>
            </w:r>
            <w:r w:rsidRPr="004811F1">
              <w:rPr>
                <w:rFonts w:ascii="Calibri" w:hAnsi="Calibri" w:cs="Calibri"/>
              </w:rPr>
              <w:t xml:space="preserve"> offences</w:t>
            </w:r>
            <w:r>
              <w:rPr>
                <w:rFonts w:ascii="Calibri" w:hAnsi="Calibri" w:cs="Calibri"/>
              </w:rPr>
              <w:t>. T</w:t>
            </w:r>
            <w:r w:rsidRPr="004811F1">
              <w:rPr>
                <w:rFonts w:ascii="Calibri" w:hAnsi="Calibri" w:cs="Calibri"/>
              </w:rPr>
              <w:t>herefore</w:t>
            </w:r>
            <w:r>
              <w:rPr>
                <w:rFonts w:ascii="Calibri" w:hAnsi="Calibri" w:cs="Calibri"/>
              </w:rPr>
              <w:t>,</w:t>
            </w:r>
            <w:r w:rsidRPr="004811F1">
              <w:rPr>
                <w:rFonts w:ascii="Calibri" w:hAnsi="Calibri" w:cs="Calibri"/>
              </w:rPr>
              <w:t xml:space="preserve"> it is unclear if whether this provision would also apply in the investigation of </w:t>
            </w:r>
            <w:r>
              <w:rPr>
                <w:rFonts w:ascii="Calibri" w:hAnsi="Calibri" w:cs="Calibri"/>
              </w:rPr>
              <w:t>SEC offences.</w:t>
            </w:r>
          </w:p>
        </w:tc>
      </w:tr>
      <w:tr w:rsidR="00A21390" w:rsidRPr="00680020" w14:paraId="7EEE3949" w14:textId="77777777" w:rsidTr="00A21390">
        <w:trPr>
          <w:trHeight w:val="720"/>
        </w:trPr>
        <w:tc>
          <w:tcPr>
            <w:tcW w:w="425" w:type="dxa"/>
          </w:tcPr>
          <w:p w14:paraId="150DAA25" w14:textId="77777777" w:rsidR="00A21390" w:rsidRPr="00680020" w:rsidRDefault="00A21390" w:rsidP="00C33EAA">
            <w:pPr>
              <w:pStyle w:val="Paragrafoelenco"/>
              <w:numPr>
                <w:ilvl w:val="0"/>
                <w:numId w:val="2"/>
              </w:numPr>
              <w:spacing w:line="240" w:lineRule="auto"/>
              <w:rPr>
                <w:rFonts w:asciiTheme="minorHAnsi" w:hAnsiTheme="minorHAnsi" w:cstheme="minorHAnsi"/>
                <w:lang w:val="en-GB"/>
              </w:rPr>
            </w:pPr>
          </w:p>
        </w:tc>
        <w:tc>
          <w:tcPr>
            <w:tcW w:w="5529" w:type="dxa"/>
          </w:tcPr>
          <w:p w14:paraId="4845105A" w14:textId="77777777" w:rsidR="00A21390" w:rsidRPr="00680020" w:rsidRDefault="00A21390" w:rsidP="00C33EAA">
            <w:pPr>
              <w:rPr>
                <w:rFonts w:cstheme="minorHAnsi"/>
                <w:lang w:val="en-GB"/>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and/or through state-managed funds.</w:t>
            </w:r>
            <w:r w:rsidRPr="00680020">
              <w:rPr>
                <w:rFonts w:cstheme="minorHAnsi"/>
                <w:lang w:val="en-GB"/>
              </w:rPr>
              <w:t xml:space="preserve"> </w:t>
            </w:r>
          </w:p>
        </w:tc>
        <w:tc>
          <w:tcPr>
            <w:tcW w:w="1701" w:type="dxa"/>
          </w:tcPr>
          <w:p w14:paraId="1C912E67"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Yes</w:t>
            </w:r>
          </w:p>
        </w:tc>
        <w:tc>
          <w:tcPr>
            <w:tcW w:w="6520" w:type="dxa"/>
          </w:tcPr>
          <w:p w14:paraId="298A6268" w14:textId="77777777" w:rsidR="00D93323" w:rsidRDefault="00D93323" w:rsidP="00D93323">
            <w:pPr>
              <w:jc w:val="both"/>
              <w:rPr>
                <w:rFonts w:ascii="Calibri" w:hAnsi="Calibri" w:cs="Calibri"/>
              </w:rPr>
            </w:pPr>
            <w:r>
              <w:rPr>
                <w:rFonts w:ascii="Calibri" w:hAnsi="Calibri" w:cs="Calibri"/>
              </w:rPr>
              <w:t xml:space="preserve">Section 28 of PASHTA permits the Tribunals tor order compensation to be paid to the victims of the offence of trafficking. </w:t>
            </w:r>
          </w:p>
          <w:p w14:paraId="3CEE0B32" w14:textId="77777777" w:rsidR="00D93323" w:rsidRDefault="00D93323" w:rsidP="00D93323">
            <w:pPr>
              <w:jc w:val="both"/>
              <w:rPr>
                <w:rFonts w:ascii="Calibri" w:hAnsi="Calibri" w:cs="Calibri"/>
              </w:rPr>
            </w:pPr>
            <w:r w:rsidRPr="00A67A8F">
              <w:rPr>
                <w:rFonts w:ascii="Calibri" w:hAnsi="Calibri" w:cs="Calibri"/>
              </w:rPr>
              <w:t xml:space="preserve">In addition, </w:t>
            </w:r>
            <w:r>
              <w:rPr>
                <w:rFonts w:ascii="Calibri" w:hAnsi="Calibri" w:cs="Calibri"/>
              </w:rPr>
              <w:t xml:space="preserve">Section 40 of PASHTA sets forth that </w:t>
            </w:r>
            <w:r w:rsidRPr="00A67A8F">
              <w:rPr>
                <w:rFonts w:ascii="Calibri" w:hAnsi="Calibri" w:cs="Calibri"/>
              </w:rPr>
              <w:t xml:space="preserve">the Government may provide financial assistance to the victim of human trafficking or to the </w:t>
            </w:r>
            <w:r w:rsidRPr="00A67A8F">
              <w:rPr>
                <w:rFonts w:ascii="Calibri" w:hAnsi="Calibri" w:cs="Calibri"/>
              </w:rPr>
              <w:lastRenderedPageBreak/>
              <w:t>victim from the</w:t>
            </w:r>
            <w:r>
              <w:rPr>
                <w:rFonts w:ascii="Calibri" w:hAnsi="Calibri" w:cs="Calibri"/>
              </w:rPr>
              <w:t xml:space="preserve"> Human Trafficking Prevention Fund </w:t>
            </w:r>
            <w:r w:rsidRPr="00A67A8F">
              <w:rPr>
                <w:rFonts w:ascii="Calibri" w:hAnsi="Calibri" w:cs="Calibri"/>
              </w:rPr>
              <w:t xml:space="preserve">established under </w:t>
            </w:r>
            <w:r>
              <w:rPr>
                <w:rFonts w:ascii="Calibri" w:hAnsi="Calibri" w:cs="Calibri"/>
              </w:rPr>
              <w:t xml:space="preserve">Section 42 of the Act. </w:t>
            </w:r>
          </w:p>
          <w:p w14:paraId="133047B9" w14:textId="77777777" w:rsidR="00D93323" w:rsidRDefault="00D93323" w:rsidP="00D93323">
            <w:pPr>
              <w:jc w:val="both"/>
              <w:rPr>
                <w:rFonts w:ascii="Calibri" w:hAnsi="Calibri" w:cs="Calibri"/>
              </w:rPr>
            </w:pPr>
            <w:r>
              <w:rPr>
                <w:rFonts w:ascii="Calibri" w:hAnsi="Calibri" w:cs="Calibri"/>
              </w:rPr>
              <w:t xml:space="preserve">Section 15 of the Prevention of Oppression against Women and Children Act 2000 also provides for recovery of fine from the offenders for paying damages to the victims under the Act. </w:t>
            </w:r>
          </w:p>
          <w:p w14:paraId="3E3C2D6B" w14:textId="77777777" w:rsidR="00D93323" w:rsidRDefault="00D93323" w:rsidP="00D93323">
            <w:pPr>
              <w:jc w:val="both"/>
              <w:rPr>
                <w:rFonts w:ascii="Calibri" w:hAnsi="Calibri" w:cs="Calibri"/>
              </w:rPr>
            </w:pPr>
            <w:r>
              <w:rPr>
                <w:rFonts w:ascii="Calibri" w:hAnsi="Calibri" w:cs="Calibri"/>
              </w:rPr>
              <w:t xml:space="preserve">In addition, </w:t>
            </w:r>
            <w:r w:rsidRPr="00EB4BA6">
              <w:rPr>
                <w:rFonts w:ascii="Calibri" w:hAnsi="Calibri" w:cs="Calibri"/>
              </w:rPr>
              <w:t>Section 545 of CrPC gives the Courts the power to pay expenses or compensation out of fine</w:t>
            </w:r>
            <w:r>
              <w:rPr>
                <w:rFonts w:ascii="Calibri" w:hAnsi="Calibri" w:cs="Calibri"/>
              </w:rPr>
              <w:t xml:space="preserve"> to the victims of crimes. </w:t>
            </w:r>
          </w:p>
          <w:p w14:paraId="5455E991" w14:textId="25A737F7" w:rsidR="00A21390" w:rsidRPr="00680020" w:rsidRDefault="00D93323" w:rsidP="00D93323">
            <w:pPr>
              <w:rPr>
                <w:rFonts w:cstheme="minorHAnsi"/>
                <w:lang w:val="en-GB"/>
              </w:rPr>
            </w:pPr>
            <w:r w:rsidRPr="001C5818">
              <w:rPr>
                <w:rFonts w:ascii="Calibri" w:hAnsi="Calibri" w:cs="Calibri"/>
                <w:shd w:val="clear" w:color="auto" w:fill="FFFFFF"/>
              </w:rPr>
              <w:t>The law does not make explicit difference between national and non-national child victims, but it does not even clearly state if relevant provisions would be applied to non-nationals.</w:t>
            </w:r>
            <w:bookmarkStart w:id="0" w:name="r111"/>
            <w:r w:rsidR="00A21390" w:rsidRPr="00680020">
              <w:rPr>
                <w:rFonts w:cstheme="minorHAnsi"/>
                <w:lang w:val="en-GB"/>
              </w:rPr>
              <w:t>.</w:t>
            </w:r>
            <w:bookmarkEnd w:id="0"/>
          </w:p>
        </w:tc>
      </w:tr>
    </w:tbl>
    <w:p w14:paraId="4BFD2D14" w14:textId="77777777" w:rsidR="008C63F0" w:rsidRPr="00680020" w:rsidRDefault="008C63F0" w:rsidP="008C63F0">
      <w:pPr>
        <w:rPr>
          <w:rFonts w:cstheme="minorHAnsi"/>
          <w:color w:val="136B41"/>
          <w:u w:val="single"/>
          <w:lang w:val="en-GB"/>
        </w:rPr>
      </w:pPr>
    </w:p>
    <w:p w14:paraId="1AB6C7C1" w14:textId="77777777" w:rsidR="008C63F0" w:rsidRPr="00680020" w:rsidRDefault="008C63F0" w:rsidP="008C63F0">
      <w:pPr>
        <w:rPr>
          <w:rFonts w:cstheme="minorHAnsi"/>
          <w:b/>
          <w:bCs/>
          <w:color w:val="136B41"/>
          <w:u w:val="single"/>
          <w:lang w:val="en-GB"/>
        </w:rPr>
      </w:pPr>
      <w:r w:rsidRPr="00680020">
        <w:rPr>
          <w:rFonts w:cstheme="minorHAnsi"/>
          <w:b/>
          <w:bCs/>
          <w:color w:val="136B41"/>
          <w:u w:val="single"/>
          <w:lang w:val="en-GB"/>
        </w:rPr>
        <w:t xml:space="preserve">Legal Sources: </w:t>
      </w:r>
    </w:p>
    <w:p w14:paraId="6839F36F" w14:textId="77777777" w:rsidR="00D93323" w:rsidRPr="00350BFC" w:rsidRDefault="00ED1B16" w:rsidP="00D93323">
      <w:pPr>
        <w:jc w:val="both"/>
        <w:rPr>
          <w:rFonts w:ascii="Calibri" w:hAnsi="Calibri" w:cs="Calibri"/>
        </w:rPr>
      </w:pPr>
      <w:hyperlink r:id="rId13" w:history="1">
        <w:r w:rsidR="00D93323" w:rsidRPr="00350BFC">
          <w:rPr>
            <w:rStyle w:val="Collegamentoipertestuale"/>
            <w:rFonts w:ascii="Calibri" w:hAnsi="Calibri" w:cs="Calibri"/>
          </w:rPr>
          <w:t>The Children Act, 2013</w:t>
        </w:r>
      </w:hyperlink>
      <w:r w:rsidR="00D93323" w:rsidRPr="00350BFC">
        <w:rPr>
          <w:rFonts w:ascii="Calibri" w:hAnsi="Calibri" w:cs="Calibri"/>
        </w:rPr>
        <w:t xml:space="preserve"> </w:t>
      </w:r>
    </w:p>
    <w:p w14:paraId="123CDCF1" w14:textId="77777777" w:rsidR="00D93323" w:rsidRPr="00350BFC" w:rsidRDefault="00ED1B16" w:rsidP="00D93323">
      <w:pPr>
        <w:jc w:val="both"/>
        <w:rPr>
          <w:rFonts w:ascii="Calibri" w:hAnsi="Calibri" w:cs="Calibri"/>
        </w:rPr>
      </w:pPr>
      <w:hyperlink r:id="rId14" w:history="1">
        <w:r w:rsidR="00D93323" w:rsidRPr="00350BFC">
          <w:rPr>
            <w:rStyle w:val="Collegamentoipertestuale"/>
            <w:rFonts w:ascii="Calibri" w:hAnsi="Calibri" w:cs="Calibri"/>
          </w:rPr>
          <w:t>The Extradition Act, 1974</w:t>
        </w:r>
      </w:hyperlink>
    </w:p>
    <w:p w14:paraId="43F4C771" w14:textId="77777777" w:rsidR="00D93323" w:rsidRPr="00350BFC" w:rsidRDefault="00ED1B16" w:rsidP="00D93323">
      <w:pPr>
        <w:jc w:val="both"/>
        <w:rPr>
          <w:rFonts w:ascii="Calibri" w:hAnsi="Calibri" w:cs="Calibri"/>
        </w:rPr>
      </w:pPr>
      <w:hyperlink r:id="rId15" w:history="1">
        <w:r w:rsidR="00D93323" w:rsidRPr="00350BFC">
          <w:rPr>
            <w:rStyle w:val="Collegamentoipertestuale"/>
            <w:rFonts w:ascii="Calibri" w:hAnsi="Calibri" w:cs="Calibri"/>
          </w:rPr>
          <w:t>The Penal Code, 1860</w:t>
        </w:r>
      </w:hyperlink>
    </w:p>
    <w:p w14:paraId="2094153E" w14:textId="77777777" w:rsidR="00D93323" w:rsidRPr="00350BFC" w:rsidRDefault="00ED1B16" w:rsidP="00D93323">
      <w:pPr>
        <w:jc w:val="both"/>
        <w:rPr>
          <w:rFonts w:ascii="Calibri" w:hAnsi="Calibri" w:cs="Calibri"/>
        </w:rPr>
      </w:pPr>
      <w:hyperlink r:id="rId16" w:history="1">
        <w:r w:rsidR="00D93323" w:rsidRPr="00350BFC">
          <w:rPr>
            <w:rStyle w:val="Collegamentoipertestuale"/>
            <w:rFonts w:ascii="Calibri" w:hAnsi="Calibri" w:cs="Calibri"/>
          </w:rPr>
          <w:t>The Prevention and Suppression of Human Trafficking Act, 2012</w:t>
        </w:r>
      </w:hyperlink>
    </w:p>
    <w:p w14:paraId="6BFFA12B" w14:textId="77777777" w:rsidR="00D93323" w:rsidRPr="00350BFC" w:rsidRDefault="00ED1B16" w:rsidP="00D93323">
      <w:pPr>
        <w:jc w:val="both"/>
        <w:rPr>
          <w:rFonts w:ascii="Calibri" w:hAnsi="Calibri" w:cs="Calibri"/>
        </w:rPr>
      </w:pPr>
      <w:hyperlink r:id="rId17" w:history="1">
        <w:r w:rsidR="00D93323" w:rsidRPr="00350BFC">
          <w:rPr>
            <w:rStyle w:val="Collegamentoipertestuale"/>
            <w:rFonts w:ascii="Calibri" w:hAnsi="Calibri" w:cs="Calibri"/>
          </w:rPr>
          <w:t>The Prevention of Oppression Against Women and Children Act 2000</w:t>
        </w:r>
      </w:hyperlink>
    </w:p>
    <w:p w14:paraId="48D6F0EC" w14:textId="77777777" w:rsidR="00D93323" w:rsidRPr="00350BFC" w:rsidRDefault="00ED1B16" w:rsidP="00D93323">
      <w:pPr>
        <w:jc w:val="both"/>
        <w:rPr>
          <w:rStyle w:val="Collegamentoipertestuale"/>
          <w:rFonts w:ascii="Calibri" w:hAnsi="Calibri" w:cs="Calibri"/>
        </w:rPr>
      </w:pPr>
      <w:hyperlink r:id="rId18" w:history="1">
        <w:r w:rsidR="00D93323" w:rsidRPr="00350BFC">
          <w:rPr>
            <w:rStyle w:val="Collegamentoipertestuale"/>
            <w:rFonts w:ascii="Calibri" w:hAnsi="Calibri" w:cs="Calibri"/>
          </w:rPr>
          <w:t>The Digital Security Act, 2018</w:t>
        </w:r>
      </w:hyperlink>
    </w:p>
    <w:p w14:paraId="78E562C6" w14:textId="77777777" w:rsidR="00D93323" w:rsidRPr="00350BFC" w:rsidRDefault="00ED1B16" w:rsidP="00D93323">
      <w:pPr>
        <w:jc w:val="both"/>
        <w:rPr>
          <w:rStyle w:val="Collegamentoipertestuale"/>
          <w:rFonts w:ascii="Calibri" w:hAnsi="Calibri" w:cs="Calibri"/>
        </w:rPr>
      </w:pPr>
      <w:hyperlink r:id="rId19" w:history="1">
        <w:r w:rsidR="00D93323" w:rsidRPr="00350BFC">
          <w:rPr>
            <w:rStyle w:val="Collegamentoipertestuale"/>
            <w:rFonts w:ascii="Calibri" w:hAnsi="Calibri" w:cs="Calibri"/>
          </w:rPr>
          <w:t>The Information and Communication Technology Act, 2006.</w:t>
        </w:r>
      </w:hyperlink>
      <w:r w:rsidR="00D93323" w:rsidRPr="00350BFC">
        <w:rPr>
          <w:rStyle w:val="Collegamentoipertestuale"/>
          <w:rFonts w:ascii="Calibri" w:hAnsi="Calibri" w:cs="Calibri"/>
        </w:rPr>
        <w:t xml:space="preserve"> </w:t>
      </w:r>
    </w:p>
    <w:p w14:paraId="130B4C5B" w14:textId="77777777" w:rsidR="00D93323" w:rsidRDefault="00ED1B16" w:rsidP="00D93323">
      <w:pPr>
        <w:jc w:val="both"/>
        <w:rPr>
          <w:rStyle w:val="Collegamentoipertestuale"/>
          <w:rFonts w:ascii="Calibri" w:hAnsi="Calibri" w:cs="Calibri"/>
        </w:rPr>
      </w:pPr>
      <w:hyperlink r:id="rId20" w:history="1">
        <w:r w:rsidR="00D93323" w:rsidRPr="00350BFC">
          <w:rPr>
            <w:rStyle w:val="Collegamentoipertestuale"/>
            <w:rFonts w:ascii="Calibri" w:hAnsi="Calibri" w:cs="Calibri"/>
          </w:rPr>
          <w:t>The Code of Criminal Procedure, 1898.</w:t>
        </w:r>
      </w:hyperlink>
      <w:r w:rsidR="00D93323" w:rsidRPr="00350BFC">
        <w:rPr>
          <w:rStyle w:val="Collegamentoipertestuale"/>
          <w:rFonts w:ascii="Calibri" w:hAnsi="Calibri" w:cs="Calibri"/>
        </w:rPr>
        <w:t xml:space="preserve"> </w:t>
      </w:r>
    </w:p>
    <w:p w14:paraId="337CED71" w14:textId="77777777" w:rsidR="00D93323" w:rsidRDefault="00ED1B16" w:rsidP="00D93323">
      <w:pPr>
        <w:jc w:val="both"/>
        <w:rPr>
          <w:rStyle w:val="Collegamentoipertestuale"/>
        </w:rPr>
      </w:pPr>
      <w:hyperlink r:id="rId21" w:history="1">
        <w:r w:rsidR="00D93323" w:rsidRPr="00B3329C">
          <w:rPr>
            <w:rStyle w:val="Collegamentoipertestuale"/>
          </w:rPr>
          <w:t>Domestic Violence (Prevention and Protection) Act, 2010</w:t>
        </w:r>
      </w:hyperlink>
    </w:p>
    <w:p w14:paraId="5AADCC3C" w14:textId="7039AC7F" w:rsidR="00D93323" w:rsidRPr="00350BFC" w:rsidRDefault="00ED1B16" w:rsidP="00D93323">
      <w:pPr>
        <w:jc w:val="both"/>
        <w:rPr>
          <w:rFonts w:ascii="Calibri" w:hAnsi="Calibri" w:cs="Calibri"/>
          <w:lang w:val="en-IN"/>
        </w:rPr>
      </w:pPr>
      <w:hyperlink r:id="rId22" w:history="1">
        <w:r w:rsidR="00D93323" w:rsidRPr="00D93323">
          <w:rPr>
            <w:rStyle w:val="Collegamentoipertestuale"/>
            <w:rFonts w:ascii="Calibri" w:hAnsi="Calibri" w:cs="Calibri"/>
            <w:lang w:val="en-IN"/>
          </w:rPr>
          <w:t>Pornography Control Act 2012</w:t>
        </w:r>
      </w:hyperlink>
    </w:p>
    <w:p w14:paraId="5F002426" w14:textId="77777777" w:rsidR="008C63F0" w:rsidRPr="00680020" w:rsidRDefault="008C63F0" w:rsidP="008C63F0">
      <w:pPr>
        <w:rPr>
          <w:rFonts w:cstheme="minorHAnsi"/>
          <w:color w:val="136B41"/>
          <w:u w:val="single"/>
          <w:lang w:val="en-GB"/>
        </w:rPr>
      </w:pPr>
      <w:r w:rsidRPr="00680020">
        <w:rPr>
          <w:rFonts w:cstheme="minorHAnsi"/>
          <w:color w:val="136B41"/>
          <w:u w:val="single"/>
          <w:lang w:val="en-GB"/>
        </w:rPr>
        <w:br w:type="page"/>
      </w:r>
    </w:p>
    <w:p w14:paraId="2377C1D0" w14:textId="77777777" w:rsidR="008B4D46" w:rsidRPr="00680020" w:rsidRDefault="008B4D46">
      <w:pPr>
        <w:rPr>
          <w:rFonts w:cstheme="minorHAnsi"/>
          <w:lang w:val="en-GB"/>
        </w:rPr>
      </w:pPr>
    </w:p>
    <w:sectPr w:rsidR="008B4D46" w:rsidRPr="00680020" w:rsidSect="008C63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88CA" w14:textId="77777777" w:rsidR="00ED1B16" w:rsidRDefault="00ED1B16" w:rsidP="00680020">
      <w:pPr>
        <w:spacing w:after="0" w:line="240" w:lineRule="auto"/>
      </w:pPr>
      <w:r>
        <w:separator/>
      </w:r>
    </w:p>
  </w:endnote>
  <w:endnote w:type="continuationSeparator" w:id="0">
    <w:p w14:paraId="0559CAEE" w14:textId="77777777" w:rsidR="00ED1B16" w:rsidRDefault="00ED1B16" w:rsidP="0068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8520" w14:textId="77777777" w:rsidR="00ED1B16" w:rsidRDefault="00ED1B16" w:rsidP="00680020">
      <w:pPr>
        <w:spacing w:after="0" w:line="240" w:lineRule="auto"/>
      </w:pPr>
      <w:r>
        <w:separator/>
      </w:r>
    </w:p>
  </w:footnote>
  <w:footnote w:type="continuationSeparator" w:id="0">
    <w:p w14:paraId="4D4301CC" w14:textId="77777777" w:rsidR="00ED1B16" w:rsidRDefault="00ED1B16" w:rsidP="0068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B37"/>
    <w:multiLevelType w:val="multilevel"/>
    <w:tmpl w:val="A84E3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75B50"/>
    <w:multiLevelType w:val="hybridMultilevel"/>
    <w:tmpl w:val="7F1AB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78E24E27"/>
    <w:multiLevelType w:val="hybridMultilevel"/>
    <w:tmpl w:val="0D0AA560"/>
    <w:lvl w:ilvl="0" w:tplc="DFAC58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E4"/>
    <w:rsid w:val="00074084"/>
    <w:rsid w:val="00204C47"/>
    <w:rsid w:val="00205310"/>
    <w:rsid w:val="00210380"/>
    <w:rsid w:val="002B6A1E"/>
    <w:rsid w:val="002E798D"/>
    <w:rsid w:val="004052DE"/>
    <w:rsid w:val="004E1FF9"/>
    <w:rsid w:val="005E1FE4"/>
    <w:rsid w:val="006411A5"/>
    <w:rsid w:val="00680020"/>
    <w:rsid w:val="00685B6D"/>
    <w:rsid w:val="008669B7"/>
    <w:rsid w:val="008B4D46"/>
    <w:rsid w:val="008C63F0"/>
    <w:rsid w:val="009259CD"/>
    <w:rsid w:val="009570CC"/>
    <w:rsid w:val="00975F02"/>
    <w:rsid w:val="009950F8"/>
    <w:rsid w:val="009B33CD"/>
    <w:rsid w:val="009C2861"/>
    <w:rsid w:val="00A20A79"/>
    <w:rsid w:val="00A21390"/>
    <w:rsid w:val="00A42073"/>
    <w:rsid w:val="00C1694D"/>
    <w:rsid w:val="00C2067D"/>
    <w:rsid w:val="00D723F3"/>
    <w:rsid w:val="00D93323"/>
    <w:rsid w:val="00DE1821"/>
    <w:rsid w:val="00DF78CF"/>
    <w:rsid w:val="00E07168"/>
    <w:rsid w:val="00E97227"/>
    <w:rsid w:val="00ED1B16"/>
    <w:rsid w:val="00F93302"/>
    <w:rsid w:val="00F955BE"/>
    <w:rsid w:val="00FA4600"/>
    <w:rsid w:val="00FD1C61"/>
    <w:rsid w:val="00FE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082F"/>
  <w15:chartTrackingRefBased/>
  <w15:docId w15:val="{9EDC224C-43A1-4377-8FA6-7464FF26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8C63F0"/>
    <w:pPr>
      <w:pBdr>
        <w:top w:val="nil"/>
        <w:left w:val="nil"/>
        <w:bottom w:val="nil"/>
        <w:right w:val="nil"/>
        <w:between w:val="nil"/>
      </w:pBdr>
      <w:tabs>
        <w:tab w:val="center" w:pos="6979"/>
      </w:tabs>
      <w:spacing w:after="0" w:line="276" w:lineRule="auto"/>
      <w:jc w:val="center"/>
      <w:outlineLvl w:val="1"/>
    </w:pPr>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C63F0"/>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8C63F0"/>
    <w:pPr>
      <w:pBdr>
        <w:top w:val="nil"/>
        <w:left w:val="nil"/>
        <w:bottom w:val="nil"/>
        <w:right w:val="nil"/>
        <w:between w:val="nil"/>
      </w:pBdr>
      <w:spacing w:after="0" w:line="276" w:lineRule="auto"/>
      <w:ind w:left="720"/>
      <w:contextualSpacing/>
    </w:pPr>
    <w:rPr>
      <w:rFonts w:ascii="Arial" w:eastAsia="Arial" w:hAnsi="Arial" w:cs="Cordia New"/>
      <w:color w:val="000000"/>
      <w:szCs w:val="28"/>
      <w:lang w:bidi="th-TH"/>
    </w:rPr>
  </w:style>
  <w:style w:type="character" w:styleId="Collegamentoipertestuale">
    <w:name w:val="Hyperlink"/>
    <w:basedOn w:val="Carpredefinitoparagrafo"/>
    <w:uiPriority w:val="99"/>
    <w:unhideWhenUsed/>
    <w:rsid w:val="008C63F0"/>
    <w:rPr>
      <w:color w:val="0563C1" w:themeColor="hyperlink"/>
      <w:u w:val="single"/>
    </w:rPr>
  </w:style>
  <w:style w:type="table" w:styleId="Tabellasemplice-2">
    <w:name w:val="Plain Table 2"/>
    <w:basedOn w:val="Tabellanormale"/>
    <w:uiPriority w:val="42"/>
    <w:rsid w:val="008C63F0"/>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C63F0"/>
    <w:pPr>
      <w:autoSpaceDE w:val="0"/>
      <w:autoSpaceDN w:val="0"/>
      <w:adjustRightInd w:val="0"/>
      <w:spacing w:after="0" w:line="240" w:lineRule="auto"/>
    </w:pPr>
    <w:rPr>
      <w:rFonts w:ascii="Cambria" w:eastAsia="Arial" w:hAnsi="Cambria" w:cs="Cambria"/>
      <w:color w:val="000000"/>
      <w:sz w:val="24"/>
      <w:szCs w:val="24"/>
    </w:rPr>
  </w:style>
  <w:style w:type="character" w:styleId="Rimandocommento">
    <w:name w:val="annotation reference"/>
    <w:basedOn w:val="Carpredefinitoparagrafo"/>
    <w:uiPriority w:val="99"/>
    <w:semiHidden/>
    <w:unhideWhenUsed/>
    <w:rsid w:val="00680020"/>
    <w:rPr>
      <w:sz w:val="16"/>
      <w:szCs w:val="16"/>
    </w:rPr>
  </w:style>
  <w:style w:type="paragraph" w:styleId="Testocommento">
    <w:name w:val="annotation text"/>
    <w:basedOn w:val="Normale"/>
    <w:link w:val="TestocommentoCarattere"/>
    <w:uiPriority w:val="99"/>
    <w:semiHidden/>
    <w:unhideWhenUsed/>
    <w:rsid w:val="0068002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0020"/>
    <w:rPr>
      <w:sz w:val="20"/>
      <w:szCs w:val="20"/>
    </w:rPr>
  </w:style>
  <w:style w:type="paragraph" w:styleId="Soggettocommento">
    <w:name w:val="annotation subject"/>
    <w:basedOn w:val="Testocommento"/>
    <w:next w:val="Testocommento"/>
    <w:link w:val="SoggettocommentoCarattere"/>
    <w:uiPriority w:val="99"/>
    <w:semiHidden/>
    <w:unhideWhenUsed/>
    <w:rsid w:val="00680020"/>
    <w:rPr>
      <w:b/>
      <w:bCs/>
    </w:rPr>
  </w:style>
  <w:style w:type="character" w:customStyle="1" w:styleId="SoggettocommentoCarattere">
    <w:name w:val="Soggetto commento Carattere"/>
    <w:basedOn w:val="TestocommentoCarattere"/>
    <w:link w:val="Soggettocommento"/>
    <w:uiPriority w:val="99"/>
    <w:semiHidden/>
    <w:rsid w:val="00680020"/>
    <w:rPr>
      <w:b/>
      <w:bCs/>
      <w:sz w:val="20"/>
      <w:szCs w:val="20"/>
    </w:rPr>
  </w:style>
  <w:style w:type="paragraph" w:styleId="Testofumetto">
    <w:name w:val="Balloon Text"/>
    <w:basedOn w:val="Normale"/>
    <w:link w:val="TestofumettoCarattere"/>
    <w:uiPriority w:val="99"/>
    <w:semiHidden/>
    <w:unhideWhenUsed/>
    <w:rsid w:val="006800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0020"/>
    <w:rPr>
      <w:rFonts w:ascii="Segoe UI" w:hAnsi="Segoe UI" w:cs="Segoe UI"/>
      <w:sz w:val="18"/>
      <w:szCs w:val="18"/>
    </w:rPr>
  </w:style>
  <w:style w:type="paragraph" w:styleId="Testonotaapidipagina">
    <w:name w:val="footnote text"/>
    <w:basedOn w:val="Normale"/>
    <w:link w:val="TestonotaapidipaginaCarattere"/>
    <w:uiPriority w:val="99"/>
    <w:unhideWhenUsed/>
    <w:rsid w:val="00680020"/>
    <w:pPr>
      <w:spacing w:after="0" w:line="240" w:lineRule="auto"/>
    </w:pPr>
    <w:rPr>
      <w:sz w:val="20"/>
      <w:szCs w:val="25"/>
      <w:lang w:bidi="th-TH"/>
    </w:rPr>
  </w:style>
  <w:style w:type="character" w:customStyle="1" w:styleId="TestonotaapidipaginaCarattere">
    <w:name w:val="Testo nota a piè di pagina Carattere"/>
    <w:basedOn w:val="Carpredefinitoparagrafo"/>
    <w:link w:val="Testonotaapidipagina"/>
    <w:uiPriority w:val="99"/>
    <w:rsid w:val="00680020"/>
    <w:rPr>
      <w:sz w:val="20"/>
      <w:szCs w:val="25"/>
      <w:lang w:bidi="th-TH"/>
    </w:rPr>
  </w:style>
  <w:style w:type="character" w:styleId="Rimandonotaapidipagina">
    <w:name w:val="footnote reference"/>
    <w:aliases w:val="ftref,Footnote symbol,Знак сноски 1,Ciae niinee 1,4_G,Footnotes refss,Footnote Ref,16 Point,Superscript 6 Point, BVI fnr Char Char Char Char Char Char Char Char Char Char,BVI fnr Char Char Char"/>
    <w:basedOn w:val="Carpredefinitoparagrafo"/>
    <w:uiPriority w:val="99"/>
    <w:unhideWhenUsed/>
    <w:qFormat/>
    <w:rsid w:val="00680020"/>
    <w:rPr>
      <w:vertAlign w:val="superscript"/>
    </w:rPr>
  </w:style>
  <w:style w:type="table" w:styleId="Grigliatabella">
    <w:name w:val="Table Grid"/>
    <w:basedOn w:val="Tabellanormale"/>
    <w:uiPriority w:val="39"/>
    <w:rsid w:val="00E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D93323"/>
    <w:rPr>
      <w:color w:val="954F72" w:themeColor="followedHyperlink"/>
      <w:u w:val="single"/>
    </w:rPr>
  </w:style>
  <w:style w:type="character" w:styleId="Menzionenonrisolta">
    <w:name w:val="Unresolved Mention"/>
    <w:basedOn w:val="Carpredefinitoparagrafo"/>
    <w:uiPriority w:val="99"/>
    <w:semiHidden/>
    <w:unhideWhenUsed/>
    <w:rsid w:val="00D9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nicef.org/bangladesh/sites/unicef.org.bangladesh/files/2018-07/Children%20Act%202013%20English.pdf" TargetMode="External"/><Relationship Id="rId18" Type="http://schemas.openxmlformats.org/officeDocument/2006/relationships/hyperlink" Target="https://www.cirt.gov.bd/wp-content/uploads/2018/12/Digital-Security-Act-2018-English-version.pdf" TargetMode="External"/><Relationship Id="rId3" Type="http://schemas.openxmlformats.org/officeDocument/2006/relationships/settings" Target="settings.xml"/><Relationship Id="rId21" Type="http://schemas.openxmlformats.org/officeDocument/2006/relationships/hyperlink" Target="https://mowca.portal.gov.bd/sites/default/files/files/mowca.portal.gov.bd/page/203db6dc_7c82_4aa0_98a6_8672334b235c/Domestic%20Violence%20Act%20English.pdf" TargetMode="External"/><Relationship Id="rId7" Type="http://schemas.openxmlformats.org/officeDocument/2006/relationships/image" Target="media/image1.png"/><Relationship Id="rId12" Type="http://schemas.openxmlformats.org/officeDocument/2006/relationships/hyperlink" Target="https://ecpat.org/wp-content/uploads/2021/09/Assesment-Matrix_2021SEP_ENG_v2.pdf" TargetMode="External"/><Relationship Id="rId17" Type="http://schemas.openxmlformats.org/officeDocument/2006/relationships/hyperlink" Target="https://iknowpolitics.org/sites/default/files/prevention_act_bangladesh.pdf" TargetMode="External"/><Relationship Id="rId2" Type="http://schemas.openxmlformats.org/officeDocument/2006/relationships/styles" Target="styles.xml"/><Relationship Id="rId16" Type="http://schemas.openxmlformats.org/officeDocument/2006/relationships/hyperlink" Target="https://www.ecoi.net/en/file/local/1028974/1930_1413966465_543f75664.pdf" TargetMode="External"/><Relationship Id="rId20" Type="http://schemas.openxmlformats.org/officeDocument/2006/relationships/hyperlink" Target="http://bdlaws.minlaw.gov.bd/act-details-7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SECTT-Checklist_ENG_Explanatory-not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dlaws.minlaw.gov.bd/act-11.html" TargetMode="External"/><Relationship Id="rId23" Type="http://schemas.openxmlformats.org/officeDocument/2006/relationships/fontTable" Target="fontTable.xml"/><Relationship Id="rId10" Type="http://schemas.openxmlformats.org/officeDocument/2006/relationships/hyperlink" Target="https://ecpat.org/wp-content/uploads/2021/08/Global-Report-Offenders-on-the-Move.pdf" TargetMode="External"/><Relationship Id="rId19" Type="http://schemas.openxmlformats.org/officeDocument/2006/relationships/hyperlink" Target="https://samsn.ifj.org/wp-content/uploads/2015/07/Bangladesh-ICT-Act-2006.pdf" TargetMode="External"/><Relationship Id="rId4" Type="http://schemas.openxmlformats.org/officeDocument/2006/relationships/webSettings" Target="webSettings.xml"/><Relationship Id="rId9" Type="http://schemas.openxmlformats.org/officeDocument/2006/relationships/hyperlink" Target="https://ecpat.org/wp-content/uploads/2021/09/SECTT-Checklist_ENG-1.pdf" TargetMode="External"/><Relationship Id="rId14" Type="http://schemas.openxmlformats.org/officeDocument/2006/relationships/hyperlink" Target="http://bdlaws.minlaw.gov.bd/act-details-479.html" TargetMode="External"/><Relationship Id="rId22" Type="http://schemas.openxmlformats.org/officeDocument/2006/relationships/hyperlink" Target="http://bdlaws.minlaw.gov.bd/act-details-1091.html?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dc:description/>
  <cp:lastModifiedBy>Greta Faieta</cp:lastModifiedBy>
  <cp:revision>3</cp:revision>
  <dcterms:created xsi:type="dcterms:W3CDTF">2022-07-03T21:56:00Z</dcterms:created>
  <dcterms:modified xsi:type="dcterms:W3CDTF">2022-07-03T22:01:00Z</dcterms:modified>
</cp:coreProperties>
</file>