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6DD69" w14:textId="12DEFAF7" w:rsidR="00A15DD7" w:rsidRDefault="002152AE" w:rsidP="000F2BB5">
      <w:r>
        <w:rPr>
          <w:b/>
          <w:bCs/>
          <w:noProof/>
          <w:sz w:val="28"/>
          <w:szCs w:val="28"/>
          <w:lang w:bidi="ar-SA"/>
        </w:rPr>
        <w:drawing>
          <wp:anchor distT="0" distB="0" distL="114300" distR="114300" simplePos="0" relativeHeight="251658240" behindDoc="0" locked="0" layoutInCell="1" allowOverlap="1" wp14:anchorId="6660E195" wp14:editId="7F631A24">
            <wp:simplePos x="0" y="0"/>
            <wp:positionH relativeFrom="margin">
              <wp:posOffset>4362873</wp:posOffset>
            </wp:positionH>
            <wp:positionV relativeFrom="paragraph">
              <wp:posOffset>50800</wp:posOffset>
            </wp:positionV>
            <wp:extent cx="1373505" cy="914400"/>
            <wp:effectExtent l="152400" t="152400" r="340995" b="3429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3505" cy="914400"/>
                    </a:xfrm>
                    <a:prstGeom prst="rect">
                      <a:avLst/>
                    </a:prstGeom>
                    <a:ln>
                      <a:noFill/>
                    </a:ln>
                    <a:effectLst>
                      <a:outerShdw blurRad="292100" dist="139700" dir="2700000" algn="tl" rotWithShape="0">
                        <a:srgbClr val="333333">
                          <a:alpha val="65000"/>
                        </a:srgbClr>
                      </a:outerShdw>
                    </a:effectLst>
                  </pic:spPr>
                </pic:pic>
              </a:graphicData>
            </a:graphic>
          </wp:anchor>
        </w:drawing>
      </w:r>
      <w:r w:rsidR="000F2BB5">
        <w:rPr>
          <w:rFonts w:ascii="Calibri-Bold" w:hAnsi="Calibri-Bold" w:cs="Calibri-Bold"/>
          <w:b/>
          <w:bCs/>
          <w:color w:val="02436F"/>
          <w:sz w:val="32"/>
          <w:szCs w:val="32"/>
          <w:lang w:bidi="ar-SA"/>
        </w:rPr>
        <w:t xml:space="preserve">India </w:t>
      </w:r>
    </w:p>
    <w:p w14:paraId="4158F16B" w14:textId="4F5223B2" w:rsidR="00A15DD7" w:rsidRDefault="00BF1B85" w:rsidP="00A15DD7">
      <w:r w:rsidRPr="001C4311">
        <w:rPr>
          <w:rFonts w:ascii="Calibri-Bold" w:hAnsi="Calibri-Bold" w:cs="Calibri-Bold"/>
          <w:b/>
          <w:bCs/>
          <w:noProof/>
          <w:color w:val="02436F"/>
          <w:sz w:val="32"/>
          <w:szCs w:val="32"/>
          <w:lang w:bidi="ar-SA"/>
        </w:rPr>
        <w:drawing>
          <wp:anchor distT="0" distB="0" distL="114300" distR="114300" simplePos="0" relativeHeight="251660288" behindDoc="1" locked="0" layoutInCell="1" allowOverlap="1" wp14:anchorId="2A0D67BB" wp14:editId="1B7650CB">
            <wp:simplePos x="0" y="0"/>
            <wp:positionH relativeFrom="margin">
              <wp:posOffset>-84102</wp:posOffset>
            </wp:positionH>
            <wp:positionV relativeFrom="paragraph">
              <wp:posOffset>53975</wp:posOffset>
            </wp:positionV>
            <wp:extent cx="2292350" cy="731520"/>
            <wp:effectExtent l="0" t="0" r="0" b="0"/>
            <wp:wrapTight wrapText="bothSides">
              <wp:wrapPolygon edited="0">
                <wp:start x="0" y="0"/>
                <wp:lineTo x="0" y="20813"/>
                <wp:lineTo x="21361" y="20813"/>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p>
    <w:p w14:paraId="0C325B68" w14:textId="185350DE" w:rsidR="00A15DD7" w:rsidRDefault="00A15DD7" w:rsidP="00A15DD7"/>
    <w:p w14:paraId="544E2578" w14:textId="08380312" w:rsidR="00A3026F" w:rsidRDefault="00A3026F" w:rsidP="00A3026F">
      <w:pPr>
        <w:jc w:val="center"/>
        <w:rPr>
          <w:b/>
          <w:bCs/>
          <w:sz w:val="28"/>
          <w:szCs w:val="28"/>
        </w:rPr>
      </w:pPr>
    </w:p>
    <w:p w14:paraId="08DF87E0" w14:textId="77777777" w:rsidR="00A3026F" w:rsidRDefault="00A3026F" w:rsidP="00A3026F">
      <w:pPr>
        <w:jc w:val="center"/>
        <w:rPr>
          <w:b/>
          <w:bCs/>
          <w:sz w:val="28"/>
          <w:szCs w:val="28"/>
        </w:rPr>
      </w:pPr>
    </w:p>
    <w:p w14:paraId="17A8B336" w14:textId="77777777" w:rsidR="00A15DD7" w:rsidRDefault="00A15DD7" w:rsidP="00A15DD7"/>
    <w:p w14:paraId="08569F22" w14:textId="77777777" w:rsidR="000F2BB5" w:rsidRPr="001C4311" w:rsidRDefault="000F2BB5" w:rsidP="00BF1B85">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eastAsia="Calibri" w:hAnsi="Calibri" w:cs="Calibri"/>
          <w:color w:val="auto"/>
          <w:lang w:bidi="ar-SA"/>
        </w:rPr>
      </w:pPr>
      <w:r w:rsidRPr="001C4311">
        <w:rPr>
          <w:rFonts w:ascii="Calibri" w:eastAsia="Calibri" w:hAnsi="Calibri" w:cs="Calibri"/>
          <w:color w:val="auto"/>
          <w:lang w:bidi="ar-SA"/>
        </w:rPr>
        <w:t xml:space="preserve">ECPAT International has developed </w:t>
      </w:r>
      <w:hyperlink r:id="rId9" w:history="1">
        <w:r w:rsidRPr="001C4311">
          <w:rPr>
            <w:rFonts w:ascii="Calibri" w:eastAsia="Calibri" w:hAnsi="Calibri" w:cs="Calibri"/>
            <w:color w:val="0563C1"/>
            <w:u w:val="single"/>
            <w:lang w:bidi="ar-SA"/>
          </w:rPr>
          <w:t>a legal checklist</w:t>
        </w:r>
      </w:hyperlink>
      <w:r w:rsidRPr="001C4311">
        <w:rPr>
          <w:rFonts w:ascii="Calibri" w:eastAsia="Calibri" w:hAnsi="Calibri" w:cs="Calibri"/>
          <w:color w:val="auto"/>
          <w:lang w:bidi="ar-SA"/>
        </w:rPr>
        <w:t xml:space="preserve"> for governments providing guidance for legal interventions and measures to adopt in order to improve their national legal frameworks. This will help to effectively address the crime of sexual exploitation of children in travel and tourism, including its online elements. </w:t>
      </w:r>
    </w:p>
    <w:p w14:paraId="7E238CA7" w14:textId="41C3B52E" w:rsidR="000F2BB5" w:rsidRPr="001C4311" w:rsidRDefault="000F2BB5" w:rsidP="00BF1B85">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eastAsia="Calibri" w:hAnsi="Calibri" w:cs="Calibri"/>
          <w:color w:val="auto"/>
          <w:lang w:bidi="ar-SA"/>
        </w:rPr>
      </w:pPr>
      <w:r w:rsidRPr="001C4311">
        <w:rPr>
          <w:rFonts w:ascii="Calibri" w:eastAsia="Calibri" w:hAnsi="Calibri" w:cs="Calibri"/>
          <w:color w:val="auto"/>
          <w:lang w:bidi="ar-SA"/>
        </w:rPr>
        <w:t xml:space="preserve">The legal checklist was developed based on the recommendations of the first </w:t>
      </w:r>
      <w:hyperlink r:id="rId10" w:history="1">
        <w:r w:rsidRPr="001C4311">
          <w:rPr>
            <w:rFonts w:ascii="Calibri" w:eastAsia="Calibri" w:hAnsi="Calibri" w:cs="Calibri"/>
            <w:color w:val="0000FF"/>
            <w:u w:val="single"/>
            <w:lang w:bidi="ar-SA"/>
          </w:rPr>
          <w:t>Global Study</w:t>
        </w:r>
      </w:hyperlink>
      <w:r w:rsidRPr="001C4311">
        <w:rPr>
          <w:rFonts w:ascii="Calibri" w:eastAsia="Calibri" w:hAnsi="Calibri" w:cs="Calibri"/>
          <w:color w:val="auto"/>
          <w:lang w:bidi="ar-SA"/>
        </w:rPr>
        <w:t xml:space="preserve"> on sexual exploitation of children in the context of travel and tourism. Following the development of this legal checklist, ECPAT International conducted country legal analysis for </w:t>
      </w:r>
      <w:r>
        <w:rPr>
          <w:rFonts w:ascii="Calibri" w:eastAsia="Calibri" w:hAnsi="Calibri" w:cs="Calibri"/>
          <w:color w:val="auto"/>
          <w:lang w:bidi="ar-SA"/>
        </w:rPr>
        <w:t xml:space="preserve">India </w:t>
      </w:r>
      <w:r w:rsidRPr="001C4311">
        <w:rPr>
          <w:rFonts w:ascii="Calibri" w:eastAsia="Calibri" w:hAnsi="Calibri" w:cs="Calibri"/>
          <w:color w:val="auto"/>
          <w:lang w:bidi="ar-SA"/>
        </w:rPr>
        <w:t xml:space="preserve">and other countries in Africa, as well as Southeast Asia, Asia and the Americas. </w:t>
      </w:r>
    </w:p>
    <w:p w14:paraId="34D7D070" w14:textId="77777777" w:rsidR="000F2BB5" w:rsidRPr="001C4311" w:rsidRDefault="000F2BB5" w:rsidP="00BF1B85">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eastAsia="Calibri" w:hAnsi="Calibri" w:cs="Calibri"/>
          <w:color w:val="auto"/>
          <w:lang w:bidi="ar-SA"/>
        </w:rPr>
      </w:pPr>
      <w:r w:rsidRPr="001C4311">
        <w:rPr>
          <w:rFonts w:ascii="Calibri" w:eastAsia="Calibri" w:hAnsi="Calibri" w:cs="Calibri"/>
          <w:color w:val="auto"/>
          <w:lang w:bidi="ar-SA"/>
        </w:rPr>
        <w:t xml:space="preserve">The country analysis serves as a baseline to indicate and track the implementation status of the legal interventions within and across the four regions. It provides governments with clear directions for improving their actions with respect to child protection against sexual exploitation in the context of travel and tourism, including its online elements. </w:t>
      </w:r>
    </w:p>
    <w:p w14:paraId="56643692" w14:textId="44B4757F" w:rsidR="000F2BB5" w:rsidRDefault="000F2BB5" w:rsidP="00BF1B85">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libri" w:eastAsia="Calibri" w:hAnsi="Calibri" w:cs="Calibri"/>
          <w:color w:val="auto"/>
          <w:lang w:bidi="ar-SA"/>
        </w:rPr>
      </w:pPr>
      <w:r w:rsidRPr="001C4311">
        <w:rPr>
          <w:rFonts w:ascii="Calibri" w:eastAsia="Calibri" w:hAnsi="Calibri" w:cs="Calibri"/>
          <w:color w:val="auto"/>
          <w:lang w:bidi="ar-SA"/>
        </w:rPr>
        <w:t xml:space="preserve">The table below allows easy assessment of existing legislation against the 24 measures of the legal checklist. It will be updated as the laws and policies change. An </w:t>
      </w:r>
      <w:hyperlink r:id="rId11" w:history="1">
        <w:r w:rsidRPr="001C4311">
          <w:rPr>
            <w:rFonts w:ascii="Calibri" w:eastAsia="Calibri" w:hAnsi="Calibri" w:cs="Calibri"/>
            <w:color w:val="0563C1"/>
            <w:u w:val="single"/>
            <w:lang w:bidi="ar-SA"/>
          </w:rPr>
          <w:t>explanatory note</w:t>
        </w:r>
      </w:hyperlink>
      <w:r w:rsidRPr="001C4311">
        <w:rPr>
          <w:rFonts w:ascii="Calibri" w:eastAsia="Calibri" w:hAnsi="Calibri" w:cs="Calibri"/>
          <w:color w:val="auto"/>
          <w:lang w:bidi="ar-SA"/>
        </w:rPr>
        <w:t xml:space="preserve"> and an </w:t>
      </w:r>
      <w:hyperlink r:id="rId12" w:history="1">
        <w:r w:rsidRPr="001C4311">
          <w:rPr>
            <w:rFonts w:ascii="Calibri" w:eastAsia="Calibri" w:hAnsi="Calibri" w:cs="Calibri"/>
            <w:color w:val="0563C1"/>
            <w:u w:val="single"/>
            <w:lang w:bidi="ar-SA"/>
          </w:rPr>
          <w:t>assessment matrix</w:t>
        </w:r>
      </w:hyperlink>
      <w:r w:rsidRPr="001C4311">
        <w:rPr>
          <w:rFonts w:ascii="Calibri" w:eastAsia="Calibri" w:hAnsi="Calibri" w:cs="Calibri"/>
          <w:color w:val="auto"/>
          <w:lang w:bidi="ar-SA"/>
        </w:rPr>
        <w:t xml:space="preserve"> can be consulted for further reference.</w:t>
      </w:r>
    </w:p>
    <w:p w14:paraId="5A0C538B" w14:textId="77777777" w:rsidR="00481C9A" w:rsidRPr="001C4311" w:rsidRDefault="00481C9A" w:rsidP="00BF1B85">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libri" w:hAnsi="Calibri" w:cs="Calibri"/>
        </w:rPr>
      </w:pPr>
    </w:p>
    <w:p w14:paraId="3DEFD64A" w14:textId="77777777" w:rsidR="00A15DD7" w:rsidRDefault="00A15DD7" w:rsidP="00BF1B85"/>
    <w:tbl>
      <w:tblPr>
        <w:tblStyle w:val="TableGrid"/>
        <w:tblW w:w="9493" w:type="dxa"/>
        <w:tblLayout w:type="fixed"/>
        <w:tblLook w:val="0620" w:firstRow="1" w:lastRow="0" w:firstColumn="0" w:lastColumn="0" w:noHBand="1" w:noVBand="1"/>
      </w:tblPr>
      <w:tblGrid>
        <w:gridCol w:w="846"/>
        <w:gridCol w:w="2977"/>
        <w:gridCol w:w="1701"/>
        <w:gridCol w:w="3969"/>
      </w:tblGrid>
      <w:tr w:rsidR="00481C9A" w:rsidRPr="00436380" w14:paraId="2F5CD50B" w14:textId="77777777" w:rsidTr="00481C9A">
        <w:trPr>
          <w:trHeight w:val="366"/>
        </w:trPr>
        <w:tc>
          <w:tcPr>
            <w:tcW w:w="846" w:type="dxa"/>
          </w:tcPr>
          <w:p w14:paraId="00B21716" w14:textId="77777777" w:rsidR="00481C9A" w:rsidRPr="00AB627D" w:rsidRDefault="00481C9A" w:rsidP="00481C9A">
            <w:pPr>
              <w:spacing w:after="160"/>
              <w:rPr>
                <w:rFonts w:ascii="Calibri" w:hAnsi="Calibri" w:cs="Calibri"/>
                <w:b/>
                <w:color w:val="000000" w:themeColor="text1"/>
                <w:lang w:val="en-GB"/>
              </w:rPr>
            </w:pPr>
          </w:p>
        </w:tc>
        <w:tc>
          <w:tcPr>
            <w:tcW w:w="2977" w:type="dxa"/>
          </w:tcPr>
          <w:p w14:paraId="4B2C51ED" w14:textId="77777777" w:rsidR="00481C9A" w:rsidRPr="00481C9A" w:rsidRDefault="00481C9A" w:rsidP="00481C9A">
            <w:pPr>
              <w:spacing w:after="160"/>
              <w:rPr>
                <w:rFonts w:ascii="Calibri" w:hAnsi="Calibri" w:cs="Calibri"/>
                <w:b/>
                <w:bCs/>
                <w:color w:val="000000" w:themeColor="text1"/>
                <w:lang w:val="en-GB"/>
              </w:rPr>
            </w:pPr>
            <w:r w:rsidRPr="00481C9A">
              <w:rPr>
                <w:rFonts w:ascii="Calibri" w:hAnsi="Calibri" w:cs="Calibri"/>
                <w:b/>
                <w:bCs/>
                <w:color w:val="000000" w:themeColor="text1"/>
                <w:lang w:val="en-GB"/>
              </w:rPr>
              <w:t>Recommendations</w:t>
            </w:r>
          </w:p>
        </w:tc>
        <w:tc>
          <w:tcPr>
            <w:tcW w:w="1701" w:type="dxa"/>
          </w:tcPr>
          <w:p w14:paraId="7E4FCE02" w14:textId="77777777" w:rsidR="00481C9A" w:rsidRPr="00481C9A" w:rsidRDefault="00481C9A" w:rsidP="00481C9A">
            <w:pPr>
              <w:spacing w:after="160"/>
              <w:rPr>
                <w:rFonts w:ascii="Calibri" w:hAnsi="Calibri" w:cs="Calibri"/>
                <w:b/>
                <w:bCs/>
                <w:color w:val="000000" w:themeColor="text1"/>
                <w:lang w:val="en-GB"/>
              </w:rPr>
            </w:pPr>
            <w:r w:rsidRPr="00481C9A">
              <w:rPr>
                <w:rFonts w:ascii="Calibri" w:hAnsi="Calibri" w:cs="Calibri"/>
                <w:b/>
                <w:bCs/>
                <w:color w:val="000000" w:themeColor="text1"/>
                <w:lang w:val="en-GB"/>
              </w:rPr>
              <w:t>Implementation</w:t>
            </w:r>
          </w:p>
        </w:tc>
        <w:tc>
          <w:tcPr>
            <w:tcW w:w="3969" w:type="dxa"/>
          </w:tcPr>
          <w:p w14:paraId="569F1105" w14:textId="77777777" w:rsidR="00481C9A" w:rsidRPr="00481C9A" w:rsidRDefault="00481C9A" w:rsidP="00481C9A">
            <w:pPr>
              <w:spacing w:after="160"/>
              <w:rPr>
                <w:rFonts w:ascii="Calibri" w:hAnsi="Calibri" w:cs="Calibri"/>
                <w:b/>
                <w:bCs/>
                <w:color w:val="000000" w:themeColor="text1"/>
                <w:lang w:val="en-GB"/>
              </w:rPr>
            </w:pPr>
            <w:r w:rsidRPr="00481C9A">
              <w:rPr>
                <w:rFonts w:ascii="Calibri" w:hAnsi="Calibri" w:cs="Calibri"/>
                <w:b/>
                <w:bCs/>
                <w:color w:val="000000" w:themeColor="text1"/>
                <w:lang w:val="en-GB"/>
              </w:rPr>
              <w:t>Legislation</w:t>
            </w:r>
          </w:p>
        </w:tc>
      </w:tr>
      <w:tr w:rsidR="00481C9A" w:rsidRPr="00436380" w14:paraId="2ECD997A" w14:textId="77777777" w:rsidTr="00481C9A">
        <w:trPr>
          <w:trHeight w:val="1125"/>
        </w:trPr>
        <w:tc>
          <w:tcPr>
            <w:tcW w:w="846" w:type="dxa"/>
          </w:tcPr>
          <w:p w14:paraId="1765D3E0" w14:textId="77777777" w:rsidR="00481C9A" w:rsidRPr="00AB627D" w:rsidRDefault="00481C9A" w:rsidP="00481C9A">
            <w:pPr>
              <w:pStyle w:val="ListParagraph"/>
              <w:numPr>
                <w:ilvl w:val="0"/>
                <w:numId w:val="1"/>
              </w:numPr>
              <w:spacing w:after="160"/>
              <w:rPr>
                <w:rFonts w:ascii="Calibri" w:hAnsi="Calibri" w:cs="Calibri"/>
                <w:color w:val="000000" w:themeColor="text1"/>
                <w:lang w:val="en-GB"/>
              </w:rPr>
            </w:pPr>
          </w:p>
        </w:tc>
        <w:tc>
          <w:tcPr>
            <w:tcW w:w="2977" w:type="dxa"/>
          </w:tcPr>
          <w:p w14:paraId="387DF9CA" w14:textId="3D7A866F" w:rsidR="00481C9A" w:rsidRPr="00AB627D" w:rsidRDefault="00481C9A" w:rsidP="00481C9A">
            <w:pPr>
              <w:spacing w:after="160"/>
              <w:rPr>
                <w:rFonts w:ascii="Calibri" w:hAnsi="Calibri" w:cs="Calibri"/>
                <w:color w:val="000000" w:themeColor="text1"/>
              </w:rPr>
            </w:pPr>
            <w:r w:rsidRPr="00AB627D">
              <w:rPr>
                <w:rFonts w:ascii="Calibri" w:eastAsia="Calibri" w:hAnsi="Calibri" w:cs="Calibri"/>
                <w:color w:val="000000" w:themeColor="text1"/>
              </w:rPr>
              <w:t xml:space="preserve">Establish by law </w:t>
            </w:r>
            <w:r w:rsidRPr="00AB627D">
              <w:rPr>
                <w:rFonts w:ascii="Calibri" w:eastAsia="Calibri" w:hAnsi="Calibri" w:cs="Calibri"/>
                <w:b/>
                <w:color w:val="000000" w:themeColor="text1"/>
              </w:rPr>
              <w:t>extra-territorial jurisdiction</w:t>
            </w:r>
            <w:r w:rsidRPr="00AB627D">
              <w:rPr>
                <w:rFonts w:ascii="Calibri" w:eastAsia="Calibri" w:hAnsi="Calibri" w:cs="Calibri"/>
                <w:color w:val="000000" w:themeColor="text1"/>
              </w:rPr>
              <w:t xml:space="preserve">, within the parameters of Article 4 </w:t>
            </w:r>
            <w:proofErr w:type="gramStart"/>
            <w:r w:rsidRPr="00AB627D">
              <w:rPr>
                <w:rFonts w:ascii="Calibri" w:eastAsia="Calibri" w:hAnsi="Calibri" w:cs="Calibri"/>
                <w:color w:val="000000" w:themeColor="text1"/>
              </w:rPr>
              <w:t>OPSC,  for</w:t>
            </w:r>
            <w:proofErr w:type="gramEnd"/>
            <w:r w:rsidRPr="00AB627D">
              <w:rPr>
                <w:rFonts w:ascii="Calibri" w:eastAsia="Calibri" w:hAnsi="Calibri" w:cs="Calibri"/>
                <w:color w:val="000000" w:themeColor="text1"/>
              </w:rPr>
              <w:t xml:space="preserve"> all offences of sexual exploitation of children, including those occurring in the online environment.</w:t>
            </w:r>
          </w:p>
        </w:tc>
        <w:tc>
          <w:tcPr>
            <w:tcW w:w="1701" w:type="dxa"/>
          </w:tcPr>
          <w:p w14:paraId="53E483D0" w14:textId="77777777" w:rsidR="00481C9A" w:rsidRPr="00AB627D" w:rsidRDefault="00481C9A" w:rsidP="00481C9A">
            <w:pPr>
              <w:spacing w:after="160"/>
              <w:rPr>
                <w:rFonts w:ascii="Calibri" w:hAnsi="Calibri" w:cs="Calibri"/>
                <w:color w:val="000000" w:themeColor="text1"/>
              </w:rPr>
            </w:pPr>
            <w:r w:rsidRPr="00AB627D">
              <w:rPr>
                <w:rFonts w:ascii="Corbel" w:eastAsia="Corbel" w:hAnsi="Corbel" w:cs="Corbel"/>
                <w:b/>
                <w:color w:val="000000" w:themeColor="text1"/>
              </w:rPr>
              <w:t>Partially</w:t>
            </w:r>
          </w:p>
        </w:tc>
        <w:tc>
          <w:tcPr>
            <w:tcW w:w="3969" w:type="dxa"/>
          </w:tcPr>
          <w:p w14:paraId="00A19CB5" w14:textId="77777777" w:rsidR="00481C9A" w:rsidRPr="00AB627D" w:rsidRDefault="00481C9A" w:rsidP="00481C9A">
            <w:pPr>
              <w:spacing w:after="160"/>
              <w:rPr>
                <w:rFonts w:ascii="Calibri" w:hAnsi="Calibri" w:cs="Calibri"/>
                <w:color w:val="000000" w:themeColor="text1"/>
              </w:rPr>
            </w:pPr>
            <w:r w:rsidRPr="00AB627D">
              <w:rPr>
                <w:rFonts w:ascii="Calibri" w:hAnsi="Calibri" w:cs="Calibri"/>
                <w:color w:val="000000" w:themeColor="text1"/>
              </w:rPr>
              <w:t>There is no extraterritorial jurisdiction specifically for offences under the OPSC. Notwithstanding, the provisions of the Indian Penal Code could apply to the offences under the OPSC. Sections 3-4 of the Indian Penal Code establish extraterritorial jurisdiction over offences committed outside India. According to Section 3, “</w:t>
            </w:r>
            <w:r w:rsidRPr="00AB627D">
              <w:rPr>
                <w:rFonts w:ascii="Calibri" w:hAnsi="Calibri" w:cs="Calibri"/>
                <w:color w:val="000000" w:themeColor="text1"/>
                <w:shd w:val="clear" w:color="auto" w:fill="FFFFFF"/>
              </w:rPr>
              <w:t>Any person liable by any Indian Law, to be tried for an offence committed beyond India shall be dealt with according to the provisions of this code for any act committed beyond (India) in the same manner as if such act had been committed within.</w:t>
            </w:r>
            <w:r w:rsidRPr="00AB627D">
              <w:rPr>
                <w:rFonts w:ascii="Calibri" w:hAnsi="Calibri" w:cs="Calibri"/>
                <w:color w:val="000000" w:themeColor="text1"/>
              </w:rPr>
              <w:t xml:space="preserve">” According to Section 4, “the provisions of this code apply also to any offence committed by: 1. Any citizen of India in any place without and beyond India. 2. Any person on any ship or aircraft registered in India wherever it may be. 3. Any person in any place without and beyond India </w:t>
            </w:r>
            <w:r w:rsidRPr="00AB627D">
              <w:rPr>
                <w:rFonts w:ascii="Calibri" w:hAnsi="Calibri" w:cs="Calibri"/>
                <w:color w:val="000000" w:themeColor="text1"/>
              </w:rPr>
              <w:lastRenderedPageBreak/>
              <w:t xml:space="preserve">committing offence targeting a computer resource located in India”. Therefore, Section 3 and 4 establishes active extraterritorial jurisdiction. </w:t>
            </w:r>
          </w:p>
          <w:p w14:paraId="53056C92" w14:textId="77777777" w:rsidR="00481C9A" w:rsidRPr="00AB627D" w:rsidRDefault="00481C9A" w:rsidP="00481C9A">
            <w:pPr>
              <w:spacing w:after="160"/>
              <w:rPr>
                <w:rFonts w:ascii="Calibri" w:hAnsi="Calibri" w:cs="Calibri"/>
                <w:color w:val="000000" w:themeColor="text1"/>
              </w:rPr>
            </w:pPr>
            <w:r w:rsidRPr="00AB627D">
              <w:rPr>
                <w:rFonts w:ascii="Calibri" w:hAnsi="Calibri" w:cs="Calibri"/>
                <w:color w:val="000000" w:themeColor="text1"/>
              </w:rPr>
              <w:t xml:space="preserve">Section 188 of the Code of Criminal Procedure, 1973, states that when an offence is committed outside India- (a) by a citizen of India, whether on the high seas or elsewhere; or (b) by a person, not being such citizen, on any ship or aircraft registered in India, he may be dealt with in respect of such offence as if it had been committed in India. </w:t>
            </w:r>
          </w:p>
          <w:p w14:paraId="12230C50" w14:textId="77777777" w:rsidR="00481C9A" w:rsidRPr="00AB627D" w:rsidRDefault="00481C9A" w:rsidP="00481C9A">
            <w:pPr>
              <w:spacing w:after="160"/>
              <w:rPr>
                <w:rFonts w:ascii="Calibri" w:hAnsi="Calibri" w:cs="Calibri"/>
                <w:color w:val="000000" w:themeColor="text1"/>
              </w:rPr>
            </w:pPr>
            <w:r w:rsidRPr="00AB627D">
              <w:rPr>
                <w:rFonts w:ascii="Calibri" w:hAnsi="Calibri" w:cs="Calibri"/>
                <w:color w:val="000000" w:themeColor="text1"/>
              </w:rPr>
              <w:t xml:space="preserve">Additionally, for CSAM related offences, the provisions of the Information Technology (IT) Act, 2000 would apply. Accordingly, Section 1(2) of the IT Act, extends the application of the Act to acts committed outside India by any person. Further, Section 75 of the IT Act states: “(1) Subject to the provisions of sub-section (2), the provisions of this Act shall apply also to any offence or contravention committed outside India by any person irrespective of his nationality. (2) For the purposes of sub-section (1), this Act shall apply to an offence or contravention committed outside India by any person if the act or conduct constituting the offence or contravention involves a computer, computer system or computer network located in India”. </w:t>
            </w:r>
          </w:p>
          <w:p w14:paraId="659C0DE3" w14:textId="77777777" w:rsidR="00481C9A" w:rsidRPr="00AB627D" w:rsidRDefault="00481C9A" w:rsidP="00481C9A">
            <w:pPr>
              <w:spacing w:after="160"/>
              <w:rPr>
                <w:rFonts w:ascii="Calibri" w:hAnsi="Calibri" w:cs="Calibri"/>
                <w:color w:val="000000" w:themeColor="text1"/>
              </w:rPr>
            </w:pPr>
            <w:r w:rsidRPr="00AB627D">
              <w:rPr>
                <w:rFonts w:ascii="Calibri" w:hAnsi="Calibri" w:cs="Calibri"/>
                <w:color w:val="000000" w:themeColor="text1"/>
              </w:rPr>
              <w:t xml:space="preserve">From the analysis of the above legal provisions, it appears that the Indian laws do not establish any passive extraterritorial jurisdiction over OPSC offences, but only active extraterritorial jurisdiction. </w:t>
            </w:r>
          </w:p>
        </w:tc>
      </w:tr>
      <w:tr w:rsidR="00481C9A" w:rsidRPr="00436380" w14:paraId="7DB5F357" w14:textId="77777777" w:rsidTr="00481C9A">
        <w:trPr>
          <w:trHeight w:val="841"/>
        </w:trPr>
        <w:tc>
          <w:tcPr>
            <w:tcW w:w="846" w:type="dxa"/>
          </w:tcPr>
          <w:p w14:paraId="2085B942" w14:textId="77777777" w:rsidR="00481C9A" w:rsidRPr="00AB627D" w:rsidRDefault="00481C9A" w:rsidP="00481C9A">
            <w:pPr>
              <w:pStyle w:val="ListParagraph"/>
              <w:numPr>
                <w:ilvl w:val="0"/>
                <w:numId w:val="1"/>
              </w:numPr>
              <w:spacing w:after="160"/>
              <w:rPr>
                <w:rFonts w:ascii="Calibri" w:hAnsi="Calibri" w:cs="Calibri"/>
                <w:color w:val="000000" w:themeColor="text1"/>
                <w:lang w:val="en-GB"/>
              </w:rPr>
            </w:pPr>
          </w:p>
        </w:tc>
        <w:tc>
          <w:tcPr>
            <w:tcW w:w="2977" w:type="dxa"/>
          </w:tcPr>
          <w:p w14:paraId="4520EDF2" w14:textId="77777777" w:rsidR="00481C9A" w:rsidRPr="00AB627D" w:rsidRDefault="00481C9A" w:rsidP="00481C9A">
            <w:pPr>
              <w:spacing w:after="160"/>
              <w:rPr>
                <w:rFonts w:ascii="Calibri" w:hAnsi="Calibri" w:cs="Calibri"/>
                <w:color w:val="000000" w:themeColor="text1"/>
                <w:lang w:val="en-GB"/>
              </w:rPr>
            </w:pPr>
            <w:r w:rsidRPr="00AB627D">
              <w:rPr>
                <w:rFonts w:ascii="Calibri" w:eastAsia="Calibri" w:hAnsi="Calibri" w:cs="Calibri"/>
                <w:color w:val="000000" w:themeColor="text1"/>
              </w:rPr>
              <w:t xml:space="preserve">Include in extradition treaties the sexual exploitation of children as </w:t>
            </w:r>
            <w:r w:rsidRPr="00AB627D">
              <w:rPr>
                <w:rFonts w:ascii="Calibri" w:eastAsia="Calibri" w:hAnsi="Calibri" w:cs="Calibri"/>
                <w:b/>
                <w:color w:val="000000" w:themeColor="text1"/>
              </w:rPr>
              <w:t xml:space="preserve">extraditable </w:t>
            </w:r>
            <w:proofErr w:type="gramStart"/>
            <w:r w:rsidRPr="00AB627D">
              <w:rPr>
                <w:rFonts w:ascii="Calibri" w:eastAsia="Calibri" w:hAnsi="Calibri" w:cs="Calibri"/>
                <w:b/>
                <w:color w:val="000000" w:themeColor="text1"/>
              </w:rPr>
              <w:t>offences</w:t>
            </w:r>
            <w:r w:rsidRPr="00AB627D">
              <w:rPr>
                <w:rFonts w:ascii="Calibri" w:eastAsia="Calibri" w:hAnsi="Calibri" w:cs="Calibri"/>
                <w:color w:val="000000" w:themeColor="text1"/>
              </w:rPr>
              <w:t xml:space="preserve">  and</w:t>
            </w:r>
            <w:proofErr w:type="gramEnd"/>
            <w:r w:rsidRPr="00AB627D">
              <w:rPr>
                <w:rFonts w:ascii="Calibri" w:eastAsia="Calibri" w:hAnsi="Calibri" w:cs="Calibri"/>
                <w:color w:val="000000" w:themeColor="text1"/>
              </w:rPr>
              <w:t xml:space="preserve"> apply when appropriate the rules of article 5 OPSC,  regardless the nationality of the (alleged) offender.</w:t>
            </w:r>
          </w:p>
        </w:tc>
        <w:tc>
          <w:tcPr>
            <w:tcW w:w="1701" w:type="dxa"/>
          </w:tcPr>
          <w:p w14:paraId="1B553602" w14:textId="77777777" w:rsidR="00481C9A" w:rsidRPr="00AB627D" w:rsidRDefault="00481C9A" w:rsidP="00481C9A">
            <w:pPr>
              <w:spacing w:after="160"/>
              <w:rPr>
                <w:rFonts w:ascii="Calibri" w:hAnsi="Calibri" w:cs="Calibri"/>
                <w:color w:val="000000" w:themeColor="text1"/>
              </w:rPr>
            </w:pPr>
            <w:r w:rsidRPr="00AB627D">
              <w:rPr>
                <w:rFonts w:asciiTheme="majorHAnsi" w:hAnsiTheme="majorHAnsi" w:cstheme="majorHAnsi"/>
                <w:b/>
                <w:color w:val="000000" w:themeColor="text1"/>
                <w:lang w:val="en-GB"/>
              </w:rPr>
              <w:t>No</w:t>
            </w:r>
            <w:r w:rsidRPr="00AB627D" w:rsidDel="00C16B0F">
              <w:rPr>
                <w:rFonts w:asciiTheme="majorHAnsi" w:hAnsiTheme="majorHAnsi" w:cstheme="majorHAnsi"/>
                <w:b/>
                <w:color w:val="000000" w:themeColor="text1"/>
                <w:lang w:val="en-GB"/>
              </w:rPr>
              <w:t xml:space="preserve"> </w:t>
            </w:r>
          </w:p>
        </w:tc>
        <w:tc>
          <w:tcPr>
            <w:tcW w:w="3969" w:type="dxa"/>
          </w:tcPr>
          <w:p w14:paraId="2F059D14" w14:textId="77777777" w:rsidR="00481C9A" w:rsidRPr="00AB627D" w:rsidRDefault="00481C9A" w:rsidP="00481C9A">
            <w:pPr>
              <w:spacing w:after="160"/>
              <w:rPr>
                <w:rFonts w:ascii="Calibri" w:hAnsi="Calibri" w:cs="Calibri"/>
                <w:color w:val="000000" w:themeColor="text1"/>
              </w:rPr>
            </w:pPr>
            <w:r w:rsidRPr="00AB627D">
              <w:rPr>
                <w:rFonts w:ascii="Calibri" w:hAnsi="Calibri" w:cs="Calibri"/>
                <w:color w:val="000000" w:themeColor="text1"/>
              </w:rPr>
              <w:t xml:space="preserve">Unable to find information that suggests that. </w:t>
            </w:r>
          </w:p>
          <w:p w14:paraId="0567E482" w14:textId="77777777" w:rsidR="00481C9A" w:rsidRPr="00AB627D" w:rsidRDefault="00481C9A" w:rsidP="00481C9A">
            <w:pPr>
              <w:spacing w:after="160"/>
              <w:rPr>
                <w:rFonts w:ascii="Calibri" w:hAnsi="Calibri" w:cs="Calibri"/>
                <w:color w:val="000000" w:themeColor="text1"/>
              </w:rPr>
            </w:pPr>
            <w:r w:rsidRPr="00AB627D">
              <w:rPr>
                <w:rFonts w:ascii="Calibri" w:hAnsi="Calibri" w:cs="Calibri"/>
                <w:color w:val="000000" w:themeColor="text1"/>
              </w:rPr>
              <w:t xml:space="preserve">It is noteworthy that Section 3(4) of the Extradition Act, 1962, states that “where there is no extradition treaty made by India with any foreign State, the Central Government may, by notified order, treat any Convention to which India and a foreign State are parties, as an </w:t>
            </w:r>
            <w:r w:rsidRPr="00AB627D">
              <w:rPr>
                <w:rFonts w:ascii="Calibri" w:hAnsi="Calibri" w:cs="Calibri"/>
                <w:color w:val="000000" w:themeColor="text1"/>
              </w:rPr>
              <w:lastRenderedPageBreak/>
              <w:t>extradition treaty made by India with that foreign State providing for extradition in respect of the offences specified in that Convention”.</w:t>
            </w:r>
          </w:p>
        </w:tc>
      </w:tr>
      <w:tr w:rsidR="00481C9A" w:rsidRPr="00436380" w14:paraId="23529A89" w14:textId="77777777" w:rsidTr="00481C9A">
        <w:trPr>
          <w:trHeight w:val="920"/>
        </w:trPr>
        <w:tc>
          <w:tcPr>
            <w:tcW w:w="846" w:type="dxa"/>
          </w:tcPr>
          <w:p w14:paraId="48453F93" w14:textId="77777777" w:rsidR="00481C9A" w:rsidRPr="00AB627D" w:rsidRDefault="00481C9A" w:rsidP="00481C9A">
            <w:pPr>
              <w:pStyle w:val="ListParagraph"/>
              <w:numPr>
                <w:ilvl w:val="0"/>
                <w:numId w:val="1"/>
              </w:numPr>
              <w:spacing w:after="160"/>
              <w:rPr>
                <w:rFonts w:ascii="Calibri" w:hAnsi="Calibri" w:cs="Calibri"/>
                <w:color w:val="000000" w:themeColor="text1"/>
                <w:lang w:val="en-GB"/>
              </w:rPr>
            </w:pPr>
          </w:p>
        </w:tc>
        <w:tc>
          <w:tcPr>
            <w:tcW w:w="2977" w:type="dxa"/>
          </w:tcPr>
          <w:p w14:paraId="23A4C4B1" w14:textId="77777777" w:rsidR="00481C9A" w:rsidRPr="00AB627D" w:rsidRDefault="00481C9A" w:rsidP="00481C9A">
            <w:pPr>
              <w:spacing w:after="160"/>
              <w:rPr>
                <w:rFonts w:ascii="Calibri" w:hAnsi="Calibri" w:cs="Calibri"/>
                <w:color w:val="000000" w:themeColor="text1"/>
                <w:lang w:val="en-GB"/>
              </w:rPr>
            </w:pPr>
            <w:r w:rsidRPr="00AB627D">
              <w:rPr>
                <w:rFonts w:ascii="Calibri" w:eastAsia="Calibri" w:hAnsi="Calibri" w:cs="Calibri"/>
                <w:color w:val="000000" w:themeColor="text1"/>
              </w:rPr>
              <w:t xml:space="preserve">Do NOT require the principle of </w:t>
            </w:r>
            <w:r w:rsidRPr="00AB627D">
              <w:rPr>
                <w:rFonts w:ascii="Calibri" w:eastAsia="Calibri" w:hAnsi="Calibri" w:cs="Calibri"/>
                <w:b/>
                <w:color w:val="000000" w:themeColor="text1"/>
              </w:rPr>
              <w:t xml:space="preserve">double </w:t>
            </w:r>
            <w:proofErr w:type="gramStart"/>
            <w:r w:rsidRPr="00AB627D">
              <w:rPr>
                <w:rFonts w:ascii="Calibri" w:eastAsia="Calibri" w:hAnsi="Calibri" w:cs="Calibri"/>
                <w:b/>
                <w:color w:val="000000" w:themeColor="text1"/>
              </w:rPr>
              <w:t>criminality</w:t>
            </w:r>
            <w:r w:rsidRPr="00AB627D">
              <w:rPr>
                <w:rFonts w:ascii="Calibri" w:eastAsia="Calibri" w:hAnsi="Calibri" w:cs="Calibri"/>
                <w:color w:val="000000" w:themeColor="text1"/>
              </w:rPr>
              <w:t xml:space="preserve">  for</w:t>
            </w:r>
            <w:proofErr w:type="gramEnd"/>
            <w:r w:rsidRPr="00AB627D">
              <w:rPr>
                <w:rFonts w:ascii="Calibri" w:eastAsia="Calibri" w:hAnsi="Calibri" w:cs="Calibri"/>
                <w:color w:val="000000" w:themeColor="text1"/>
              </w:rPr>
              <w:t xml:space="preserve"> proceeding with extraterritorial jurisdiction or extradition for sexual offences against children.</w:t>
            </w:r>
          </w:p>
        </w:tc>
        <w:tc>
          <w:tcPr>
            <w:tcW w:w="1701" w:type="dxa"/>
          </w:tcPr>
          <w:p w14:paraId="031A8F6C" w14:textId="77777777" w:rsidR="00481C9A" w:rsidRPr="00AB627D" w:rsidRDefault="00481C9A" w:rsidP="00481C9A">
            <w:pPr>
              <w:spacing w:after="160"/>
              <w:rPr>
                <w:rFonts w:ascii="Calibri" w:hAnsi="Calibri" w:cs="Calibri"/>
                <w:color w:val="000000" w:themeColor="text1"/>
                <w:lang w:val="en-GB"/>
              </w:rPr>
            </w:pPr>
            <w:r w:rsidRPr="00AB627D">
              <w:rPr>
                <w:rFonts w:asciiTheme="majorHAnsi" w:hAnsiTheme="majorHAnsi" w:cstheme="majorHAnsi"/>
                <w:b/>
                <w:color w:val="000000" w:themeColor="text1"/>
                <w:lang w:val="en-GB"/>
              </w:rPr>
              <w:t>No</w:t>
            </w:r>
          </w:p>
        </w:tc>
        <w:tc>
          <w:tcPr>
            <w:tcW w:w="3969" w:type="dxa"/>
          </w:tcPr>
          <w:p w14:paraId="2CFCE2E6" w14:textId="77777777" w:rsidR="00481C9A" w:rsidRPr="00AB627D" w:rsidRDefault="00481C9A" w:rsidP="00481C9A">
            <w:pPr>
              <w:spacing w:after="160"/>
              <w:rPr>
                <w:rFonts w:ascii="Calibri" w:hAnsi="Calibri" w:cs="Calibri"/>
                <w:color w:val="000000" w:themeColor="text1"/>
                <w:lang w:val="en-GB"/>
              </w:rPr>
            </w:pPr>
            <w:r w:rsidRPr="00AB627D">
              <w:rPr>
                <w:rFonts w:ascii="Calibri" w:hAnsi="Calibri" w:cs="Calibri"/>
                <w:color w:val="000000" w:themeColor="text1"/>
                <w:lang w:val="en-GB"/>
              </w:rPr>
              <w:t xml:space="preserve">Extraterritorial jurisdiction: The principle of double criminality applies to extraterritorial jurisdiction over SEC offences. </w:t>
            </w:r>
          </w:p>
          <w:p w14:paraId="7C996207" w14:textId="77777777" w:rsidR="00481C9A" w:rsidRPr="00AB627D" w:rsidRDefault="00481C9A" w:rsidP="00481C9A">
            <w:pPr>
              <w:spacing w:after="160"/>
              <w:rPr>
                <w:rFonts w:ascii="Calibri" w:hAnsi="Calibri" w:cs="Calibri"/>
                <w:color w:val="000000" w:themeColor="text1"/>
                <w:lang w:val="en-GB"/>
              </w:rPr>
            </w:pPr>
            <w:r w:rsidRPr="00AB627D">
              <w:rPr>
                <w:rFonts w:ascii="Calibri" w:hAnsi="Calibri" w:cs="Calibri"/>
                <w:color w:val="000000" w:themeColor="text1"/>
                <w:lang w:val="en-GB"/>
              </w:rPr>
              <w:t xml:space="preserve">Extradition: The principle of double/dual criminality is applicable to extradition law in India. This covers all offences in general. More information can be found </w:t>
            </w:r>
            <w:bookmarkStart w:id="0" w:name="_Hlk49422502"/>
            <w:r w:rsidRPr="00AB627D">
              <w:rPr>
                <w:color w:val="000000" w:themeColor="text1"/>
              </w:rPr>
              <w:fldChar w:fldCharType="begin"/>
            </w:r>
            <w:r w:rsidRPr="00AB627D">
              <w:rPr>
                <w:color w:val="000000" w:themeColor="text1"/>
              </w:rPr>
              <w:instrText xml:space="preserve"> HYPERLINK "https://www.mea.gov.in/extradition-faq.htm" </w:instrText>
            </w:r>
            <w:r w:rsidRPr="00AB627D">
              <w:rPr>
                <w:color w:val="000000" w:themeColor="text1"/>
              </w:rPr>
              <w:fldChar w:fldCharType="separate"/>
            </w:r>
            <w:r w:rsidRPr="00AB627D">
              <w:rPr>
                <w:rStyle w:val="Hyperlink"/>
                <w:rFonts w:ascii="Calibri" w:hAnsi="Calibri" w:cs="Calibri"/>
                <w:color w:val="000000" w:themeColor="text1"/>
                <w:lang w:val="en-GB"/>
              </w:rPr>
              <w:t>here</w:t>
            </w:r>
            <w:r w:rsidRPr="00AB627D">
              <w:rPr>
                <w:rStyle w:val="Hyperlink"/>
                <w:rFonts w:ascii="Calibri" w:hAnsi="Calibri" w:cs="Calibri"/>
                <w:color w:val="000000" w:themeColor="text1"/>
                <w:lang w:val="en-GB"/>
              </w:rPr>
              <w:fldChar w:fldCharType="end"/>
            </w:r>
            <w:bookmarkEnd w:id="0"/>
            <w:r w:rsidRPr="00AB627D">
              <w:rPr>
                <w:rFonts w:ascii="Calibri" w:hAnsi="Calibri" w:cs="Calibri"/>
                <w:color w:val="000000" w:themeColor="text1"/>
                <w:lang w:val="en-GB"/>
              </w:rPr>
              <w:t xml:space="preserve">. </w:t>
            </w:r>
          </w:p>
        </w:tc>
      </w:tr>
      <w:tr w:rsidR="00481C9A" w:rsidRPr="00436380" w14:paraId="77FD393D" w14:textId="77777777" w:rsidTr="00481C9A">
        <w:trPr>
          <w:trHeight w:val="20"/>
        </w:trPr>
        <w:tc>
          <w:tcPr>
            <w:tcW w:w="846" w:type="dxa"/>
          </w:tcPr>
          <w:p w14:paraId="32FF3424" w14:textId="77777777" w:rsidR="00481C9A" w:rsidRPr="00AB627D" w:rsidRDefault="00481C9A" w:rsidP="00481C9A">
            <w:pPr>
              <w:pStyle w:val="ListParagraph"/>
              <w:numPr>
                <w:ilvl w:val="0"/>
                <w:numId w:val="1"/>
              </w:numPr>
              <w:spacing w:after="160"/>
              <w:rPr>
                <w:rFonts w:ascii="Calibri" w:hAnsi="Calibri" w:cs="Calibri"/>
                <w:color w:val="000000" w:themeColor="text1"/>
                <w:lang w:val="en-GB"/>
              </w:rPr>
            </w:pPr>
          </w:p>
        </w:tc>
        <w:tc>
          <w:tcPr>
            <w:tcW w:w="2977" w:type="dxa"/>
          </w:tcPr>
          <w:p w14:paraId="03800FAA" w14:textId="77777777" w:rsidR="00481C9A" w:rsidRPr="00AB627D" w:rsidRDefault="00481C9A" w:rsidP="00481C9A">
            <w:pPr>
              <w:spacing w:after="160"/>
              <w:rPr>
                <w:rFonts w:ascii="Calibri" w:hAnsi="Calibri" w:cs="Calibri"/>
                <w:color w:val="000000" w:themeColor="text1"/>
                <w:lang w:val="en-GB"/>
              </w:rPr>
            </w:pPr>
            <w:r w:rsidRPr="00AB627D">
              <w:rPr>
                <w:rFonts w:ascii="Calibri" w:eastAsia="Calibri" w:hAnsi="Calibri" w:cs="Calibri"/>
                <w:color w:val="000000" w:themeColor="text1"/>
              </w:rPr>
              <w:t xml:space="preserve">Abolish </w:t>
            </w:r>
            <w:r w:rsidRPr="00AB627D">
              <w:rPr>
                <w:rFonts w:ascii="Calibri" w:eastAsia="Calibri" w:hAnsi="Calibri" w:cs="Calibri"/>
                <w:b/>
                <w:color w:val="000000" w:themeColor="text1"/>
              </w:rPr>
              <w:t xml:space="preserve">statutory </w:t>
            </w:r>
            <w:proofErr w:type="gramStart"/>
            <w:r w:rsidRPr="00AB627D">
              <w:rPr>
                <w:rFonts w:ascii="Calibri" w:eastAsia="Calibri" w:hAnsi="Calibri" w:cs="Calibri"/>
                <w:b/>
                <w:color w:val="000000" w:themeColor="text1"/>
              </w:rPr>
              <w:t>limitations</w:t>
            </w:r>
            <w:r w:rsidRPr="00AB627D">
              <w:rPr>
                <w:rFonts w:ascii="Calibri" w:eastAsia="Calibri" w:hAnsi="Calibri" w:cs="Calibri"/>
                <w:color w:val="000000" w:themeColor="text1"/>
              </w:rPr>
              <w:t xml:space="preserve">  for</w:t>
            </w:r>
            <w:proofErr w:type="gramEnd"/>
            <w:r w:rsidRPr="00AB627D">
              <w:rPr>
                <w:rFonts w:ascii="Calibri" w:eastAsia="Calibri" w:hAnsi="Calibri" w:cs="Calibri"/>
                <w:color w:val="000000" w:themeColor="text1"/>
              </w:rPr>
              <w:t xml:space="preserve"> the prosecution of ALL offences of sexual exploitation of children.</w:t>
            </w:r>
          </w:p>
        </w:tc>
        <w:tc>
          <w:tcPr>
            <w:tcW w:w="1701" w:type="dxa"/>
          </w:tcPr>
          <w:p w14:paraId="62E5A447" w14:textId="77777777" w:rsidR="00481C9A" w:rsidRPr="00AB627D" w:rsidRDefault="00481C9A" w:rsidP="00481C9A">
            <w:pPr>
              <w:spacing w:after="160"/>
              <w:rPr>
                <w:rFonts w:ascii="Calibri" w:hAnsi="Calibri" w:cs="Calibri"/>
                <w:color w:val="000000" w:themeColor="text1"/>
              </w:rPr>
            </w:pPr>
            <w:r w:rsidRPr="00AB627D">
              <w:rPr>
                <w:rFonts w:asciiTheme="majorHAnsi" w:hAnsiTheme="majorHAnsi" w:cstheme="majorHAnsi"/>
                <w:b/>
                <w:color w:val="000000" w:themeColor="text1"/>
                <w:lang w:val="en-GB"/>
              </w:rPr>
              <w:t>Yes</w:t>
            </w:r>
          </w:p>
        </w:tc>
        <w:tc>
          <w:tcPr>
            <w:tcW w:w="3969" w:type="dxa"/>
          </w:tcPr>
          <w:p w14:paraId="1EDC287D" w14:textId="77777777" w:rsidR="00481C9A" w:rsidRPr="00AB627D" w:rsidRDefault="00481C9A" w:rsidP="00481C9A">
            <w:pPr>
              <w:rPr>
                <w:rFonts w:ascii="Calibri" w:hAnsi="Calibri" w:cs="Calibri"/>
                <w:color w:val="000000" w:themeColor="text1"/>
              </w:rPr>
            </w:pPr>
            <w:r w:rsidRPr="00AB627D">
              <w:rPr>
                <w:rFonts w:ascii="Calibri" w:hAnsi="Calibri" w:cs="Calibri"/>
                <w:color w:val="000000" w:themeColor="text1"/>
              </w:rPr>
              <w:t xml:space="preserve">There is no time limit as to filing of complaints relating to child abuse cases including CSAM related offences, trafficking related offences, sexual assault, sexual harassment, etc. under the POCSO Act, 2012. </w:t>
            </w:r>
          </w:p>
          <w:p w14:paraId="7F09FE13" w14:textId="77777777" w:rsidR="00481C9A" w:rsidRPr="00AB627D" w:rsidRDefault="00481C9A" w:rsidP="00481C9A">
            <w:pPr>
              <w:rPr>
                <w:rFonts w:ascii="Calibri" w:hAnsi="Calibri" w:cs="Calibri"/>
                <w:color w:val="000000" w:themeColor="text1"/>
              </w:rPr>
            </w:pPr>
          </w:p>
          <w:p w14:paraId="3D6527B9" w14:textId="77777777" w:rsidR="00481C9A" w:rsidRPr="00AB627D" w:rsidRDefault="00481C9A" w:rsidP="00481C9A">
            <w:pPr>
              <w:rPr>
                <w:rFonts w:ascii="Calibri" w:hAnsi="Calibri" w:cs="Calibri"/>
                <w:color w:val="000000" w:themeColor="text1"/>
              </w:rPr>
            </w:pPr>
            <w:r w:rsidRPr="00AB627D">
              <w:rPr>
                <w:rFonts w:ascii="Calibri" w:hAnsi="Calibri" w:cs="Calibri"/>
                <w:color w:val="000000" w:themeColor="text1"/>
              </w:rPr>
              <w:t xml:space="preserve">Although, Section 468 of the Criminal Procedure Code states that any offence, punishable with 1-3 years in prison must be reported within 3 years, </w:t>
            </w:r>
            <w:r w:rsidRPr="00AB627D">
              <w:rPr>
                <w:rFonts w:ascii="Calibri" w:hAnsi="Calibri" w:cs="Calibri"/>
                <w:color w:val="000000" w:themeColor="text1"/>
                <w:shd w:val="clear" w:color="auto" w:fill="FFFFFF"/>
              </w:rPr>
              <w:t>there is no statute of limitations for criminal offences carrying a punishment greater than 3 years.</w:t>
            </w:r>
            <w:r w:rsidRPr="00AB627D">
              <w:rPr>
                <w:rFonts w:ascii="Calibri" w:hAnsi="Calibri" w:cs="Calibri"/>
                <w:color w:val="000000" w:themeColor="text1"/>
              </w:rPr>
              <w:t xml:space="preserve"> SEC offences </w:t>
            </w:r>
            <w:proofErr w:type="spellStart"/>
            <w:r w:rsidRPr="00AB627D">
              <w:rPr>
                <w:rFonts w:ascii="Calibri" w:hAnsi="Calibri" w:cs="Calibri"/>
                <w:color w:val="000000" w:themeColor="text1"/>
              </w:rPr>
              <w:t>criminalised</w:t>
            </w:r>
            <w:proofErr w:type="spellEnd"/>
            <w:r w:rsidRPr="00AB627D">
              <w:rPr>
                <w:rFonts w:ascii="Calibri" w:hAnsi="Calibri" w:cs="Calibri"/>
                <w:color w:val="000000" w:themeColor="text1"/>
              </w:rPr>
              <w:t xml:space="preserve"> under the IT Act, Immoral Trafficking Prevention Act, Indian Penal Code, </w:t>
            </w:r>
            <w:proofErr w:type="spellStart"/>
            <w:r w:rsidRPr="00AB627D">
              <w:rPr>
                <w:rFonts w:ascii="Calibri" w:hAnsi="Calibri" w:cs="Calibri"/>
                <w:color w:val="000000" w:themeColor="text1"/>
              </w:rPr>
              <w:t>etc</w:t>
            </w:r>
            <w:proofErr w:type="spellEnd"/>
            <w:r w:rsidRPr="00AB627D">
              <w:rPr>
                <w:rFonts w:ascii="Calibri" w:hAnsi="Calibri" w:cs="Calibri"/>
                <w:color w:val="000000" w:themeColor="text1"/>
              </w:rPr>
              <w:t xml:space="preserve"> all carry more than 3 years imprisonment. Therefore, it can be safely concluded that statutory limitations do not apply to SEC offences in India. </w:t>
            </w:r>
          </w:p>
          <w:p w14:paraId="6CB1B1C1" w14:textId="77777777" w:rsidR="00481C9A" w:rsidRPr="00AB627D" w:rsidRDefault="00481C9A" w:rsidP="00481C9A">
            <w:pPr>
              <w:rPr>
                <w:rFonts w:ascii="Calibri" w:hAnsi="Calibri" w:cs="Calibri"/>
                <w:color w:val="000000" w:themeColor="text1"/>
              </w:rPr>
            </w:pPr>
          </w:p>
        </w:tc>
      </w:tr>
      <w:tr w:rsidR="00481C9A" w:rsidRPr="00436380" w14:paraId="118D0E30" w14:textId="77777777" w:rsidTr="00481C9A">
        <w:trPr>
          <w:trHeight w:val="576"/>
        </w:trPr>
        <w:tc>
          <w:tcPr>
            <w:tcW w:w="846" w:type="dxa"/>
          </w:tcPr>
          <w:p w14:paraId="4889CA60" w14:textId="77777777" w:rsidR="00481C9A" w:rsidRPr="00AB627D" w:rsidRDefault="00481C9A" w:rsidP="00481C9A">
            <w:pPr>
              <w:pStyle w:val="ListParagraph"/>
              <w:numPr>
                <w:ilvl w:val="0"/>
                <w:numId w:val="1"/>
              </w:numPr>
              <w:spacing w:after="160"/>
              <w:rPr>
                <w:rFonts w:ascii="Calibri" w:hAnsi="Calibri" w:cs="Calibri"/>
                <w:color w:val="000000" w:themeColor="text1"/>
                <w:lang w:val="en-GB"/>
              </w:rPr>
            </w:pPr>
          </w:p>
        </w:tc>
        <w:tc>
          <w:tcPr>
            <w:tcW w:w="2977" w:type="dxa"/>
          </w:tcPr>
          <w:p w14:paraId="6925B065" w14:textId="77777777" w:rsidR="00481C9A" w:rsidRPr="00AB627D" w:rsidRDefault="00481C9A" w:rsidP="00481C9A">
            <w:pPr>
              <w:spacing w:after="160"/>
              <w:rPr>
                <w:rFonts w:ascii="Calibri" w:hAnsi="Calibri" w:cs="Calibri"/>
                <w:color w:val="000000" w:themeColor="text1"/>
                <w:lang w:val="en-GB"/>
              </w:rPr>
            </w:pPr>
            <w:r w:rsidRPr="00AB627D">
              <w:rPr>
                <w:rFonts w:ascii="Calibri" w:eastAsia="Calibri" w:hAnsi="Calibri" w:cs="Calibri"/>
                <w:color w:val="000000" w:themeColor="text1"/>
              </w:rPr>
              <w:t xml:space="preserve">Set up </w:t>
            </w:r>
            <w:r w:rsidRPr="00AB627D">
              <w:rPr>
                <w:rFonts w:ascii="Calibri" w:eastAsia="Calibri" w:hAnsi="Calibri" w:cs="Calibri"/>
                <w:b/>
                <w:color w:val="000000" w:themeColor="text1"/>
              </w:rPr>
              <w:t xml:space="preserve">conditions for any travel </w:t>
            </w:r>
            <w:r w:rsidRPr="00AB627D">
              <w:rPr>
                <w:rFonts w:ascii="Calibri" w:eastAsia="Calibri" w:hAnsi="Calibri" w:cs="Calibri"/>
                <w:color w:val="000000" w:themeColor="text1"/>
              </w:rPr>
              <w:t>by persons convicted of sexual exploitation of children.</w:t>
            </w:r>
          </w:p>
        </w:tc>
        <w:tc>
          <w:tcPr>
            <w:tcW w:w="1701" w:type="dxa"/>
          </w:tcPr>
          <w:p w14:paraId="65ED05A1" w14:textId="77777777" w:rsidR="00481C9A" w:rsidRPr="00AB627D" w:rsidRDefault="00481C9A" w:rsidP="00481C9A">
            <w:pPr>
              <w:spacing w:after="160"/>
              <w:rPr>
                <w:rFonts w:ascii="Calibri" w:hAnsi="Calibri" w:cs="Calibri"/>
                <w:color w:val="000000" w:themeColor="text1"/>
                <w:lang w:val="en-GB"/>
              </w:rPr>
            </w:pPr>
            <w:r w:rsidRPr="00AB627D">
              <w:rPr>
                <w:rFonts w:asciiTheme="majorHAnsi" w:hAnsiTheme="majorHAnsi" w:cstheme="majorHAnsi"/>
                <w:b/>
                <w:color w:val="000000" w:themeColor="text1"/>
                <w:lang w:val="en-GB"/>
              </w:rPr>
              <w:t>No</w:t>
            </w:r>
          </w:p>
        </w:tc>
        <w:tc>
          <w:tcPr>
            <w:tcW w:w="3969" w:type="dxa"/>
          </w:tcPr>
          <w:p w14:paraId="50FDE3C1" w14:textId="77777777" w:rsidR="00481C9A" w:rsidRPr="00AB627D" w:rsidRDefault="00481C9A" w:rsidP="00481C9A">
            <w:pPr>
              <w:rPr>
                <w:rFonts w:ascii="Calibri" w:hAnsi="Calibri" w:cs="Calibri"/>
                <w:color w:val="000000" w:themeColor="text1"/>
                <w:lang w:val="en-IN"/>
              </w:rPr>
            </w:pPr>
            <w:r w:rsidRPr="00AB627D">
              <w:rPr>
                <w:rFonts w:ascii="Calibri" w:hAnsi="Calibri" w:cs="Calibri"/>
                <w:color w:val="000000" w:themeColor="text1"/>
              </w:rPr>
              <w:t xml:space="preserve">Although, there is no provision formally denying entry or leave to foreigners convicted of SEC offences, the new </w:t>
            </w:r>
            <w:proofErr w:type="spellStart"/>
            <w:r w:rsidRPr="00AB627D">
              <w:rPr>
                <w:rFonts w:ascii="Calibri" w:hAnsi="Calibri" w:cs="Calibri"/>
                <w:color w:val="000000" w:themeColor="text1"/>
              </w:rPr>
              <w:t>eVisa</w:t>
            </w:r>
            <w:proofErr w:type="spellEnd"/>
            <w:r w:rsidRPr="00AB627D">
              <w:rPr>
                <w:rFonts w:ascii="Calibri" w:hAnsi="Calibri" w:cs="Calibri"/>
                <w:color w:val="000000" w:themeColor="text1"/>
              </w:rPr>
              <w:t xml:space="preserve"> application rules passed in 2018 may partially regulate their entry/exit. The rules require the applicant to furnish details about his or her involvement in child abuse, cyber-crime, and human trafficking. New </w:t>
            </w:r>
            <w:proofErr w:type="spellStart"/>
            <w:r w:rsidRPr="00AB627D">
              <w:rPr>
                <w:rFonts w:ascii="Calibri" w:hAnsi="Calibri" w:cs="Calibri"/>
                <w:color w:val="000000" w:themeColor="text1"/>
              </w:rPr>
              <w:t>eVisa</w:t>
            </w:r>
            <w:proofErr w:type="spellEnd"/>
            <w:r w:rsidRPr="00AB627D">
              <w:rPr>
                <w:rFonts w:ascii="Calibri" w:hAnsi="Calibri" w:cs="Calibri"/>
                <w:color w:val="000000" w:themeColor="text1"/>
              </w:rPr>
              <w:t xml:space="preserve"> Application sample form can be accessed</w:t>
            </w:r>
            <w:r w:rsidRPr="00AB627D">
              <w:rPr>
                <w:rStyle w:val="Hyperlink"/>
                <w:rFonts w:ascii="Calibri" w:hAnsi="Calibri" w:cs="Calibri"/>
                <w:color w:val="000000" w:themeColor="text1"/>
              </w:rPr>
              <w:t xml:space="preserve"> </w:t>
            </w:r>
            <w:hyperlink r:id="rId13" w:history="1">
              <w:r w:rsidRPr="00AB627D">
                <w:rPr>
                  <w:rStyle w:val="Hyperlink"/>
                  <w:rFonts w:ascii="Calibri" w:hAnsi="Calibri" w:cs="Calibri"/>
                  <w:color w:val="000000" w:themeColor="text1"/>
                </w:rPr>
                <w:t>here</w:t>
              </w:r>
            </w:hyperlink>
            <w:r w:rsidRPr="00AB627D">
              <w:rPr>
                <w:rStyle w:val="Hyperlink"/>
                <w:rFonts w:ascii="Calibri" w:hAnsi="Calibri" w:cs="Calibri"/>
                <w:color w:val="000000" w:themeColor="text1"/>
              </w:rPr>
              <w:t>.</w:t>
            </w:r>
          </w:p>
          <w:p w14:paraId="37173D07" w14:textId="77777777" w:rsidR="00481C9A" w:rsidRPr="00AB627D" w:rsidRDefault="00481C9A" w:rsidP="00481C9A">
            <w:pPr>
              <w:spacing w:after="160"/>
              <w:rPr>
                <w:rFonts w:ascii="Calibri" w:hAnsi="Calibri" w:cs="Calibri"/>
                <w:color w:val="000000" w:themeColor="text1"/>
              </w:rPr>
            </w:pPr>
            <w:r w:rsidRPr="00AB627D">
              <w:rPr>
                <w:rFonts w:ascii="Calibri" w:hAnsi="Calibri" w:cs="Calibri"/>
                <w:color w:val="000000" w:themeColor="text1"/>
              </w:rPr>
              <w:t xml:space="preserve">Pursuant to Section 14 of the Foreigners Act, 1946, if a foreigner acts in violations of the conditions of the valid visa issued to him for his entry and stay in India, he/she shall be punished with imprisonment for a term which may </w:t>
            </w:r>
            <w:r w:rsidRPr="00AB627D">
              <w:rPr>
                <w:rFonts w:ascii="Calibri" w:hAnsi="Calibri" w:cs="Calibri"/>
                <w:color w:val="000000" w:themeColor="text1"/>
              </w:rPr>
              <w:lastRenderedPageBreak/>
              <w:t xml:space="preserve">extend to five years and shall also be liable to fine. </w:t>
            </w:r>
          </w:p>
        </w:tc>
      </w:tr>
      <w:tr w:rsidR="00481C9A" w:rsidRPr="00436380" w14:paraId="766BC6F0" w14:textId="77777777" w:rsidTr="00481C9A">
        <w:trPr>
          <w:trHeight w:val="1740"/>
        </w:trPr>
        <w:tc>
          <w:tcPr>
            <w:tcW w:w="846" w:type="dxa"/>
          </w:tcPr>
          <w:p w14:paraId="6B65F657" w14:textId="77777777" w:rsidR="00481C9A" w:rsidRPr="00AB627D" w:rsidRDefault="00481C9A" w:rsidP="00481C9A">
            <w:pPr>
              <w:pStyle w:val="ListParagraph"/>
              <w:numPr>
                <w:ilvl w:val="0"/>
                <w:numId w:val="1"/>
              </w:numPr>
              <w:spacing w:after="160"/>
              <w:rPr>
                <w:rFonts w:ascii="Calibri" w:hAnsi="Calibri" w:cs="Calibri"/>
                <w:color w:val="000000" w:themeColor="text1"/>
                <w:lang w:val="en-GB"/>
              </w:rPr>
            </w:pPr>
          </w:p>
        </w:tc>
        <w:tc>
          <w:tcPr>
            <w:tcW w:w="2977" w:type="dxa"/>
          </w:tcPr>
          <w:p w14:paraId="41A85C92" w14:textId="77777777" w:rsidR="00481C9A" w:rsidRPr="00AB627D" w:rsidRDefault="00481C9A" w:rsidP="00481C9A">
            <w:pPr>
              <w:spacing w:after="160"/>
              <w:rPr>
                <w:rFonts w:ascii="Calibri" w:hAnsi="Calibri" w:cs="Calibri"/>
                <w:color w:val="000000" w:themeColor="text1"/>
                <w:lang w:val="en-GB"/>
              </w:rPr>
            </w:pPr>
            <w:r w:rsidRPr="00AB627D">
              <w:rPr>
                <w:rFonts w:ascii="Calibri" w:eastAsia="Calibri" w:hAnsi="Calibri" w:cs="Calibri"/>
                <w:color w:val="000000" w:themeColor="text1"/>
              </w:rPr>
              <w:t xml:space="preserve">Ensure </w:t>
            </w:r>
            <w:r w:rsidRPr="00AB627D">
              <w:rPr>
                <w:rFonts w:ascii="Calibri" w:eastAsia="Calibri" w:hAnsi="Calibri" w:cs="Calibri"/>
                <w:b/>
                <w:color w:val="000000" w:themeColor="text1"/>
              </w:rPr>
              <w:t xml:space="preserve">consistency in the definition of a ‘child’ </w:t>
            </w:r>
            <w:r w:rsidRPr="00AB627D">
              <w:rPr>
                <w:rFonts w:ascii="Calibri" w:eastAsia="Calibri" w:hAnsi="Calibri" w:cs="Calibri"/>
                <w:color w:val="000000" w:themeColor="text1"/>
              </w:rPr>
              <w:t>as anyone under the age of 18 for all crimes of sexual exploitation, regardless of the age of sexual consent.</w:t>
            </w:r>
          </w:p>
        </w:tc>
        <w:tc>
          <w:tcPr>
            <w:tcW w:w="1701" w:type="dxa"/>
          </w:tcPr>
          <w:p w14:paraId="72F41558" w14:textId="77777777" w:rsidR="00481C9A" w:rsidRPr="00AB627D" w:rsidRDefault="00481C9A" w:rsidP="00481C9A">
            <w:pPr>
              <w:spacing w:after="160"/>
              <w:rPr>
                <w:rFonts w:ascii="Calibri" w:hAnsi="Calibri" w:cs="Calibri"/>
                <w:b/>
                <w:color w:val="000000" w:themeColor="text1"/>
              </w:rPr>
            </w:pPr>
            <w:r w:rsidRPr="00AB627D">
              <w:rPr>
                <w:rFonts w:ascii="Corbel" w:eastAsia="Corbel" w:hAnsi="Corbel" w:cs="Corbel"/>
                <w:b/>
                <w:color w:val="000000" w:themeColor="text1"/>
              </w:rPr>
              <w:t>Partially</w:t>
            </w:r>
          </w:p>
        </w:tc>
        <w:tc>
          <w:tcPr>
            <w:tcW w:w="3969" w:type="dxa"/>
          </w:tcPr>
          <w:p w14:paraId="18E3B5AD" w14:textId="77777777" w:rsidR="00481C9A" w:rsidRPr="00AB627D" w:rsidRDefault="00481C9A" w:rsidP="00481C9A">
            <w:pPr>
              <w:spacing w:after="160"/>
              <w:rPr>
                <w:rFonts w:ascii="Calibri" w:hAnsi="Calibri" w:cs="Calibri"/>
                <w:bCs/>
                <w:color w:val="000000" w:themeColor="text1"/>
              </w:rPr>
            </w:pPr>
            <w:r w:rsidRPr="00AB627D">
              <w:rPr>
                <w:rFonts w:ascii="Calibri" w:hAnsi="Calibri" w:cs="Calibri"/>
                <w:bCs/>
                <w:color w:val="000000" w:themeColor="text1"/>
              </w:rPr>
              <w:t xml:space="preserve">The Protection of Children from Sexual Offences Act (POSCO), 2012 defines a child as any person below the age of 18 years. [Section 2(d)] </w:t>
            </w:r>
          </w:p>
          <w:p w14:paraId="72BD661E" w14:textId="77777777" w:rsidR="00481C9A" w:rsidRPr="00AB627D" w:rsidRDefault="00481C9A" w:rsidP="00481C9A">
            <w:pPr>
              <w:spacing w:after="160"/>
              <w:rPr>
                <w:rFonts w:ascii="Calibri" w:hAnsi="Calibri" w:cs="Calibri"/>
                <w:bCs/>
                <w:color w:val="000000" w:themeColor="text1"/>
              </w:rPr>
            </w:pPr>
            <w:r w:rsidRPr="00AB627D">
              <w:rPr>
                <w:rFonts w:ascii="Calibri" w:hAnsi="Calibri" w:cs="Calibri"/>
                <w:bCs/>
                <w:color w:val="000000" w:themeColor="text1"/>
              </w:rPr>
              <w:t xml:space="preserve">Juvenile Justice (Care and Protection of Children) Act, 2015 also defines a child as a person below the age of 18. [Section 2(12)]. </w:t>
            </w:r>
          </w:p>
          <w:p w14:paraId="6703768C" w14:textId="77777777" w:rsidR="00481C9A" w:rsidRPr="00AB627D" w:rsidRDefault="00481C9A" w:rsidP="00481C9A">
            <w:pPr>
              <w:spacing w:after="160"/>
              <w:rPr>
                <w:rFonts w:ascii="Calibri" w:hAnsi="Calibri" w:cs="Calibri"/>
                <w:bCs/>
                <w:color w:val="000000" w:themeColor="text1"/>
              </w:rPr>
            </w:pPr>
            <w:r w:rsidRPr="00AB627D">
              <w:rPr>
                <w:rFonts w:ascii="Calibri" w:hAnsi="Calibri" w:cs="Calibri"/>
                <w:bCs/>
                <w:color w:val="000000" w:themeColor="text1"/>
              </w:rPr>
              <w:t xml:space="preserve">For CSAM related offences, the explanation to Section 67B of the IT Act, 2000 defines a child as a person who has not completed the age of 18 years. </w:t>
            </w:r>
          </w:p>
          <w:p w14:paraId="0AE7B733" w14:textId="77777777" w:rsidR="00481C9A" w:rsidRPr="00AB627D" w:rsidRDefault="00481C9A" w:rsidP="00481C9A">
            <w:pPr>
              <w:spacing w:after="160"/>
              <w:rPr>
                <w:rFonts w:ascii="Calibri" w:hAnsi="Calibri" w:cs="Calibri"/>
                <w:bCs/>
                <w:color w:val="000000" w:themeColor="text1"/>
              </w:rPr>
            </w:pPr>
            <w:r w:rsidRPr="00AB627D">
              <w:rPr>
                <w:rFonts w:ascii="Calibri" w:hAnsi="Calibri" w:cs="Calibri"/>
                <w:bCs/>
                <w:color w:val="000000" w:themeColor="text1"/>
              </w:rPr>
              <w:t>However, Section 2(aa) of the Immoral Traffic (Prevention) Act (ITPA), 1956 defines a child as a person who has not completed the age of 16 years. Further, the Act uses the term minor under Section 2(</w:t>
            </w:r>
            <w:proofErr w:type="spellStart"/>
            <w:r w:rsidRPr="00AB627D">
              <w:rPr>
                <w:rFonts w:ascii="Calibri" w:hAnsi="Calibri" w:cs="Calibri"/>
                <w:bCs/>
                <w:color w:val="000000" w:themeColor="text1"/>
              </w:rPr>
              <w:t>cb</w:t>
            </w:r>
            <w:proofErr w:type="spellEnd"/>
            <w:r w:rsidRPr="00AB627D">
              <w:rPr>
                <w:rFonts w:ascii="Calibri" w:hAnsi="Calibri" w:cs="Calibri"/>
                <w:bCs/>
                <w:color w:val="000000" w:themeColor="text1"/>
              </w:rPr>
              <w:t xml:space="preserve">) for children aged 16-18 years. </w:t>
            </w:r>
          </w:p>
        </w:tc>
      </w:tr>
      <w:tr w:rsidR="00481C9A" w:rsidRPr="00436380" w14:paraId="54CD4532" w14:textId="77777777" w:rsidTr="00481C9A">
        <w:trPr>
          <w:trHeight w:val="1040"/>
        </w:trPr>
        <w:tc>
          <w:tcPr>
            <w:tcW w:w="846" w:type="dxa"/>
          </w:tcPr>
          <w:p w14:paraId="1FBBD3DC" w14:textId="77777777" w:rsidR="00481C9A" w:rsidRPr="00AB627D" w:rsidRDefault="00481C9A" w:rsidP="00481C9A">
            <w:pPr>
              <w:pStyle w:val="ListParagraph"/>
              <w:numPr>
                <w:ilvl w:val="0"/>
                <w:numId w:val="1"/>
              </w:numPr>
              <w:rPr>
                <w:rFonts w:ascii="Calibri" w:hAnsi="Calibri" w:cs="Calibri"/>
                <w:color w:val="000000" w:themeColor="text1"/>
                <w:lang w:val="en-GB"/>
              </w:rPr>
            </w:pPr>
          </w:p>
        </w:tc>
        <w:tc>
          <w:tcPr>
            <w:tcW w:w="2977" w:type="dxa"/>
          </w:tcPr>
          <w:p w14:paraId="03BB5D57" w14:textId="77777777" w:rsidR="00481C9A" w:rsidRPr="00AB627D" w:rsidRDefault="00481C9A" w:rsidP="00481C9A">
            <w:pPr>
              <w:rPr>
                <w:rFonts w:ascii="Calibri" w:hAnsi="Calibri" w:cs="Calibri"/>
                <w:color w:val="000000" w:themeColor="text1"/>
                <w:lang w:val="en-GB"/>
              </w:rPr>
            </w:pPr>
            <w:r w:rsidRPr="00AB627D">
              <w:rPr>
                <w:rFonts w:ascii="Calibri" w:eastAsia="Calibri" w:hAnsi="Calibri" w:cs="Calibri"/>
                <w:color w:val="000000" w:themeColor="text1"/>
              </w:rPr>
              <w:t xml:space="preserve">Ensure that the </w:t>
            </w:r>
            <w:r w:rsidRPr="00AB627D">
              <w:rPr>
                <w:rFonts w:ascii="Calibri" w:eastAsia="Calibri" w:hAnsi="Calibri" w:cs="Calibri"/>
                <w:b/>
                <w:color w:val="000000" w:themeColor="text1"/>
              </w:rPr>
              <w:t>age of sexual consent</w:t>
            </w:r>
            <w:r w:rsidRPr="00AB627D">
              <w:rPr>
                <w:rFonts w:ascii="Calibri" w:eastAsia="Calibri" w:hAnsi="Calibri" w:cs="Calibri"/>
                <w:color w:val="000000" w:themeColor="text1"/>
              </w:rPr>
              <w:t xml:space="preserve"> for both males and females is 18 and a close in age exemption (up to 3 years) is provided for consensual sexual relationships between adolescents in order to allow voluntary, well-informed and mutual sexual contact between close in age peers and to prevent criminalization of young people in willing sexual relationships.</w:t>
            </w:r>
          </w:p>
        </w:tc>
        <w:tc>
          <w:tcPr>
            <w:tcW w:w="1701" w:type="dxa"/>
          </w:tcPr>
          <w:p w14:paraId="45F891D8" w14:textId="77777777" w:rsidR="00481C9A" w:rsidRPr="00AB627D" w:rsidRDefault="00481C9A" w:rsidP="00481C9A">
            <w:pPr>
              <w:rPr>
                <w:rFonts w:ascii="Calibri" w:hAnsi="Calibri" w:cs="Calibri"/>
                <w:color w:val="000000" w:themeColor="text1"/>
              </w:rPr>
            </w:pPr>
            <w:r w:rsidRPr="00AB627D">
              <w:rPr>
                <w:rFonts w:ascii="Corbel" w:eastAsia="Corbel" w:hAnsi="Corbel" w:cs="Corbel"/>
                <w:b/>
                <w:color w:val="000000" w:themeColor="text1"/>
              </w:rPr>
              <w:t>Partially</w:t>
            </w:r>
          </w:p>
        </w:tc>
        <w:tc>
          <w:tcPr>
            <w:tcW w:w="3969" w:type="dxa"/>
          </w:tcPr>
          <w:p w14:paraId="6BFFF0FF" w14:textId="77777777" w:rsidR="00481C9A" w:rsidRPr="00AB627D" w:rsidRDefault="00481C9A" w:rsidP="00481C9A">
            <w:pPr>
              <w:rPr>
                <w:rFonts w:ascii="Calibri" w:hAnsi="Calibri" w:cs="Calibri"/>
                <w:color w:val="000000" w:themeColor="text1"/>
              </w:rPr>
            </w:pPr>
            <w:r w:rsidRPr="00AB627D">
              <w:rPr>
                <w:rFonts w:ascii="Calibri" w:hAnsi="Calibri" w:cs="Calibri"/>
                <w:color w:val="000000" w:themeColor="text1"/>
              </w:rPr>
              <w:t xml:space="preserve">The POCSO Act establishes the age of sexual consent as 18 years for boys and girls. The Act does not recognize any close-in-age exception. Further, </w:t>
            </w:r>
            <w:r w:rsidRPr="00AB627D">
              <w:rPr>
                <w:rFonts w:ascii="Calibri" w:hAnsi="Calibri" w:cs="Calibri"/>
                <w:color w:val="000000" w:themeColor="text1"/>
                <w:shd w:val="clear" w:color="auto" w:fill="FFFFFF"/>
              </w:rPr>
              <w:t xml:space="preserve">Section 114A of the Indian Evidence Act provides presumption as to the absence of consent and the burden of proof could lie on the boy to prove that the girl had consented (as rape provision under Section 375 of the Indian Penal Code only protect girls).  </w:t>
            </w:r>
          </w:p>
        </w:tc>
      </w:tr>
      <w:tr w:rsidR="00481C9A" w:rsidRPr="00436380" w14:paraId="461263CB" w14:textId="77777777" w:rsidTr="00481C9A">
        <w:trPr>
          <w:trHeight w:val="432"/>
        </w:trPr>
        <w:tc>
          <w:tcPr>
            <w:tcW w:w="846" w:type="dxa"/>
          </w:tcPr>
          <w:p w14:paraId="61E471FE" w14:textId="77777777" w:rsidR="00481C9A" w:rsidRPr="00AB627D" w:rsidRDefault="00481C9A" w:rsidP="00481C9A">
            <w:pPr>
              <w:pStyle w:val="ListParagraph"/>
              <w:numPr>
                <w:ilvl w:val="0"/>
                <w:numId w:val="1"/>
              </w:numPr>
              <w:rPr>
                <w:rFonts w:ascii="Calibri" w:hAnsi="Calibri" w:cs="Calibri"/>
                <w:color w:val="000000" w:themeColor="text1"/>
                <w:lang w:val="en-GB"/>
              </w:rPr>
            </w:pPr>
          </w:p>
        </w:tc>
        <w:tc>
          <w:tcPr>
            <w:tcW w:w="2977" w:type="dxa"/>
          </w:tcPr>
          <w:p w14:paraId="13F60D85" w14:textId="77777777" w:rsidR="00481C9A" w:rsidRPr="00AB627D" w:rsidRDefault="00481C9A" w:rsidP="00481C9A">
            <w:pPr>
              <w:rPr>
                <w:rFonts w:ascii="Calibri" w:hAnsi="Calibri" w:cs="Calibri"/>
                <w:color w:val="000000" w:themeColor="text1"/>
                <w:lang w:val="en-GB"/>
              </w:rPr>
            </w:pPr>
            <w:r w:rsidRPr="00AB627D">
              <w:rPr>
                <w:rFonts w:ascii="Calibri" w:eastAsia="Calibri" w:hAnsi="Calibri" w:cs="Calibri"/>
                <w:color w:val="000000" w:themeColor="text1"/>
              </w:rPr>
              <w:t xml:space="preserve">Have a law or regulation establishing a </w:t>
            </w:r>
            <w:r w:rsidRPr="00AB627D">
              <w:rPr>
                <w:rFonts w:ascii="Calibri" w:eastAsia="Calibri" w:hAnsi="Calibri" w:cs="Calibri"/>
                <w:b/>
                <w:color w:val="000000" w:themeColor="text1"/>
              </w:rPr>
              <w:t>mechanism for centrally registering sex offenders</w:t>
            </w:r>
            <w:r w:rsidRPr="00AB627D">
              <w:rPr>
                <w:rFonts w:ascii="Calibri" w:eastAsia="Calibri" w:hAnsi="Calibri" w:cs="Calibri"/>
                <w:color w:val="000000" w:themeColor="text1"/>
              </w:rPr>
              <w:t xml:space="preserve"> that has been implemented/setup.</w:t>
            </w:r>
          </w:p>
        </w:tc>
        <w:tc>
          <w:tcPr>
            <w:tcW w:w="1701" w:type="dxa"/>
          </w:tcPr>
          <w:p w14:paraId="61715E89" w14:textId="77777777" w:rsidR="00481C9A" w:rsidRPr="00AB627D" w:rsidRDefault="00481C9A" w:rsidP="00481C9A">
            <w:pPr>
              <w:rPr>
                <w:rFonts w:ascii="Calibri" w:hAnsi="Calibri" w:cs="Calibri"/>
                <w:color w:val="000000" w:themeColor="text1"/>
                <w:lang w:val="en-GB"/>
              </w:rPr>
            </w:pPr>
            <w:r w:rsidRPr="00AB627D">
              <w:rPr>
                <w:rFonts w:asciiTheme="majorHAnsi" w:hAnsiTheme="majorHAnsi" w:cstheme="majorHAnsi"/>
                <w:b/>
                <w:color w:val="000000" w:themeColor="text1"/>
                <w:lang w:val="en-GB"/>
              </w:rPr>
              <w:t>Yes</w:t>
            </w:r>
          </w:p>
        </w:tc>
        <w:tc>
          <w:tcPr>
            <w:tcW w:w="3969" w:type="dxa"/>
          </w:tcPr>
          <w:p w14:paraId="5544A8F3" w14:textId="77777777" w:rsidR="00481C9A" w:rsidRPr="00AB627D" w:rsidRDefault="00481C9A" w:rsidP="00481C9A">
            <w:pPr>
              <w:rPr>
                <w:rFonts w:ascii="Calibri" w:hAnsi="Calibri" w:cs="Calibri"/>
                <w:color w:val="000000" w:themeColor="text1"/>
                <w:lang w:val="en-GB"/>
              </w:rPr>
            </w:pPr>
            <w:r w:rsidRPr="00AB627D">
              <w:rPr>
                <w:rFonts w:ascii="Calibri" w:hAnsi="Calibri" w:cs="Calibri"/>
                <w:color w:val="000000" w:themeColor="text1"/>
                <w:lang w:val="en-GB"/>
              </w:rPr>
              <w:t xml:space="preserve">On 20 September 2018, the National Database on Sexual Offenders (NDSO) was launched by the Ministry of Home Affairs. This database is accessible only to law enforcement agencies. </w:t>
            </w:r>
          </w:p>
        </w:tc>
      </w:tr>
      <w:tr w:rsidR="00481C9A" w:rsidRPr="00436380" w14:paraId="42A807FC" w14:textId="77777777" w:rsidTr="00481C9A">
        <w:trPr>
          <w:trHeight w:val="288"/>
        </w:trPr>
        <w:tc>
          <w:tcPr>
            <w:tcW w:w="846" w:type="dxa"/>
          </w:tcPr>
          <w:p w14:paraId="4A8B43B4" w14:textId="77777777" w:rsidR="00481C9A" w:rsidRPr="00AB627D" w:rsidRDefault="00481C9A" w:rsidP="00481C9A">
            <w:pPr>
              <w:pStyle w:val="ListParagraph"/>
              <w:numPr>
                <w:ilvl w:val="0"/>
                <w:numId w:val="1"/>
              </w:numPr>
              <w:spacing w:after="160"/>
              <w:rPr>
                <w:rFonts w:ascii="Calibri" w:hAnsi="Calibri" w:cs="Calibri"/>
                <w:color w:val="000000" w:themeColor="text1"/>
                <w:lang w:val="en-GB"/>
              </w:rPr>
            </w:pPr>
          </w:p>
        </w:tc>
        <w:tc>
          <w:tcPr>
            <w:tcW w:w="2977" w:type="dxa"/>
          </w:tcPr>
          <w:p w14:paraId="5BB12BE0" w14:textId="77777777" w:rsidR="00481C9A" w:rsidRPr="00AB627D" w:rsidRDefault="00481C9A" w:rsidP="00481C9A">
            <w:pPr>
              <w:spacing w:after="160"/>
              <w:rPr>
                <w:rFonts w:ascii="Calibri" w:hAnsi="Calibri" w:cs="Calibri"/>
                <w:color w:val="000000" w:themeColor="text1"/>
                <w:lang w:val="en-GB"/>
              </w:rPr>
            </w:pPr>
            <w:r w:rsidRPr="00AB627D">
              <w:rPr>
                <w:rFonts w:ascii="Calibri" w:eastAsia="Calibri" w:hAnsi="Calibri" w:cs="Calibri"/>
                <w:color w:val="000000" w:themeColor="text1"/>
              </w:rPr>
              <w:t xml:space="preserve">Establish </w:t>
            </w:r>
            <w:r w:rsidRPr="00AB627D">
              <w:rPr>
                <w:rFonts w:ascii="Calibri" w:eastAsia="Calibri" w:hAnsi="Calibri" w:cs="Calibri"/>
                <w:b/>
                <w:color w:val="000000" w:themeColor="text1"/>
              </w:rPr>
              <w:t>bail conditions</w:t>
            </w:r>
            <w:r w:rsidRPr="00AB627D">
              <w:rPr>
                <w:rFonts w:ascii="Calibri" w:eastAsia="Calibri" w:hAnsi="Calibri" w:cs="Calibri"/>
                <w:color w:val="000000" w:themeColor="text1"/>
              </w:rPr>
              <w:t xml:space="preserve"> that prohibit individual accused of sexual offences against children from traveling outside of the country.</w:t>
            </w:r>
          </w:p>
        </w:tc>
        <w:tc>
          <w:tcPr>
            <w:tcW w:w="1701" w:type="dxa"/>
          </w:tcPr>
          <w:p w14:paraId="36ED2843" w14:textId="77777777" w:rsidR="00481C9A" w:rsidRPr="00AB627D" w:rsidRDefault="00481C9A" w:rsidP="00481C9A">
            <w:pPr>
              <w:spacing w:after="160"/>
              <w:rPr>
                <w:rFonts w:ascii="Calibri" w:hAnsi="Calibri" w:cs="Calibri"/>
                <w:color w:val="000000" w:themeColor="text1"/>
                <w:lang w:val="en-GB"/>
              </w:rPr>
            </w:pPr>
            <w:r w:rsidRPr="00AB627D">
              <w:rPr>
                <w:rFonts w:asciiTheme="majorHAnsi" w:hAnsiTheme="majorHAnsi" w:cstheme="majorHAnsi"/>
                <w:b/>
                <w:color w:val="000000" w:themeColor="text1"/>
                <w:lang w:val="en-GB"/>
              </w:rPr>
              <w:t>Yes</w:t>
            </w:r>
          </w:p>
        </w:tc>
        <w:tc>
          <w:tcPr>
            <w:tcW w:w="3969" w:type="dxa"/>
          </w:tcPr>
          <w:p w14:paraId="432E5DCB" w14:textId="77777777" w:rsidR="00481C9A" w:rsidRPr="00AB627D" w:rsidRDefault="00481C9A" w:rsidP="00481C9A">
            <w:pPr>
              <w:spacing w:after="160"/>
              <w:rPr>
                <w:rFonts w:ascii="Calibri" w:hAnsi="Calibri" w:cs="Calibri"/>
                <w:color w:val="000000" w:themeColor="text1"/>
                <w:lang w:val="en-GB"/>
              </w:rPr>
            </w:pPr>
            <w:r w:rsidRPr="00AB627D">
              <w:rPr>
                <w:rFonts w:ascii="Calibri" w:hAnsi="Calibri" w:cs="Calibri"/>
                <w:color w:val="000000" w:themeColor="text1"/>
                <w:lang w:val="en-GB"/>
              </w:rPr>
              <w:t xml:space="preserve">Sexual offences against children in general are non-bailable. </w:t>
            </w:r>
          </w:p>
          <w:p w14:paraId="64D10B36" w14:textId="77777777" w:rsidR="00481C9A" w:rsidRPr="00AB627D" w:rsidRDefault="00481C9A" w:rsidP="00481C9A">
            <w:pPr>
              <w:spacing w:after="160"/>
              <w:rPr>
                <w:rFonts w:ascii="Calibri" w:hAnsi="Calibri" w:cs="Calibri"/>
                <w:color w:val="000000" w:themeColor="text1"/>
                <w:lang w:val="en-GB"/>
              </w:rPr>
            </w:pPr>
            <w:r w:rsidRPr="00AB627D">
              <w:rPr>
                <w:rFonts w:ascii="Calibri" w:hAnsi="Calibri" w:cs="Calibri"/>
                <w:color w:val="000000" w:themeColor="text1"/>
              </w:rPr>
              <w:t xml:space="preserve">In accordance with the provisions of the Extradition Act, 1962, “In the case of a person who is a fugitive criminal arrested or detained under this Act, the provisions of 5 [the Code of Criminal Procedure, 1973 (2 of 1974)] relating to bail shall apply in the same manner as they would </w:t>
            </w:r>
            <w:r w:rsidRPr="00AB627D">
              <w:rPr>
                <w:rFonts w:ascii="Calibri" w:hAnsi="Calibri" w:cs="Calibri"/>
                <w:color w:val="000000" w:themeColor="text1"/>
              </w:rPr>
              <w:lastRenderedPageBreak/>
              <w:t>apply if such person were accused of committing in India the offence of which he is accused or has been convicted, and in relation to such bail, the magistrate before whom the fugitive criminal is brought shall have, as far as may be, the same powers and jurisdiction as a court of session under that Code”.</w:t>
            </w:r>
          </w:p>
        </w:tc>
      </w:tr>
      <w:tr w:rsidR="00481C9A" w:rsidRPr="00436380" w14:paraId="595F8DF1" w14:textId="77777777" w:rsidTr="00481C9A">
        <w:trPr>
          <w:trHeight w:val="640"/>
        </w:trPr>
        <w:tc>
          <w:tcPr>
            <w:tcW w:w="846" w:type="dxa"/>
          </w:tcPr>
          <w:p w14:paraId="43472191" w14:textId="77777777" w:rsidR="00481C9A" w:rsidRPr="00AB627D" w:rsidRDefault="00481C9A" w:rsidP="00481C9A">
            <w:pPr>
              <w:pStyle w:val="ListParagraph"/>
              <w:numPr>
                <w:ilvl w:val="0"/>
                <w:numId w:val="1"/>
              </w:numPr>
              <w:spacing w:after="160"/>
              <w:rPr>
                <w:rFonts w:ascii="Calibri" w:hAnsi="Calibri" w:cs="Calibri"/>
                <w:color w:val="000000" w:themeColor="text1"/>
                <w:lang w:val="en-GB"/>
              </w:rPr>
            </w:pPr>
          </w:p>
        </w:tc>
        <w:tc>
          <w:tcPr>
            <w:tcW w:w="2977" w:type="dxa"/>
          </w:tcPr>
          <w:p w14:paraId="1ADF9B68" w14:textId="77777777" w:rsidR="00481C9A" w:rsidRPr="00AB627D" w:rsidRDefault="00481C9A" w:rsidP="00481C9A">
            <w:pPr>
              <w:spacing w:after="160"/>
              <w:rPr>
                <w:rFonts w:ascii="Calibri" w:hAnsi="Calibri" w:cs="Calibri"/>
                <w:color w:val="000000" w:themeColor="text1"/>
                <w:lang w:val="en-GB"/>
              </w:rPr>
            </w:pPr>
            <w:r w:rsidRPr="00AB627D">
              <w:rPr>
                <w:rFonts w:ascii="Calibri" w:eastAsia="Calibri" w:hAnsi="Calibri" w:cs="Calibri"/>
                <w:color w:val="000000" w:themeColor="text1"/>
              </w:rPr>
              <w:t xml:space="preserve">Provide in law that the </w:t>
            </w:r>
            <w:r w:rsidRPr="00AB627D">
              <w:rPr>
                <w:rFonts w:ascii="Calibri" w:eastAsia="Calibri" w:hAnsi="Calibri" w:cs="Calibri"/>
                <w:b/>
                <w:color w:val="000000" w:themeColor="text1"/>
              </w:rPr>
              <w:t>mere attempt</w:t>
            </w:r>
            <w:r w:rsidRPr="00AB627D">
              <w:rPr>
                <w:rFonts w:ascii="Calibri" w:eastAsia="Calibri" w:hAnsi="Calibri" w:cs="Calibri"/>
                <w:color w:val="000000" w:themeColor="text1"/>
              </w:rPr>
              <w:t xml:space="preserve"> to commit a crime of sexual exploitation of children is </w:t>
            </w:r>
            <w:proofErr w:type="spellStart"/>
            <w:r w:rsidRPr="00AB627D">
              <w:rPr>
                <w:rFonts w:ascii="Calibri" w:eastAsia="Calibri" w:hAnsi="Calibri" w:cs="Calibri"/>
                <w:color w:val="000000" w:themeColor="text1"/>
              </w:rPr>
              <w:t>criminalised</w:t>
            </w:r>
            <w:proofErr w:type="spellEnd"/>
            <w:r w:rsidRPr="00AB627D">
              <w:rPr>
                <w:rFonts w:ascii="Calibri" w:eastAsia="Calibri" w:hAnsi="Calibri" w:cs="Calibri"/>
                <w:color w:val="000000" w:themeColor="text1"/>
              </w:rPr>
              <w:t>.</w:t>
            </w:r>
          </w:p>
        </w:tc>
        <w:tc>
          <w:tcPr>
            <w:tcW w:w="1701" w:type="dxa"/>
          </w:tcPr>
          <w:p w14:paraId="0F59B58F" w14:textId="77777777" w:rsidR="00481C9A" w:rsidRPr="00AB627D" w:rsidRDefault="00481C9A" w:rsidP="00481C9A">
            <w:pPr>
              <w:spacing w:after="160"/>
              <w:rPr>
                <w:rFonts w:ascii="Calibri" w:hAnsi="Calibri" w:cs="Calibri"/>
                <w:color w:val="000000" w:themeColor="text1"/>
              </w:rPr>
            </w:pPr>
            <w:r w:rsidRPr="00AB627D">
              <w:rPr>
                <w:rFonts w:asciiTheme="majorHAnsi" w:hAnsiTheme="majorHAnsi" w:cstheme="majorHAnsi"/>
                <w:b/>
                <w:color w:val="000000" w:themeColor="text1"/>
                <w:lang w:val="en-GB"/>
              </w:rPr>
              <w:t xml:space="preserve"> </w:t>
            </w:r>
          </w:p>
        </w:tc>
        <w:tc>
          <w:tcPr>
            <w:tcW w:w="3969" w:type="dxa"/>
          </w:tcPr>
          <w:p w14:paraId="7F96DB14" w14:textId="77777777" w:rsidR="00481C9A" w:rsidRPr="00AB627D" w:rsidRDefault="00481C9A" w:rsidP="00481C9A">
            <w:pPr>
              <w:spacing w:after="160"/>
              <w:rPr>
                <w:rFonts w:ascii="Calibri" w:hAnsi="Calibri" w:cs="Calibri"/>
                <w:color w:val="000000" w:themeColor="text1"/>
              </w:rPr>
            </w:pPr>
          </w:p>
        </w:tc>
      </w:tr>
      <w:tr w:rsidR="00481C9A" w:rsidRPr="00436380" w14:paraId="50B030E2" w14:textId="77777777" w:rsidTr="00481C9A">
        <w:trPr>
          <w:trHeight w:val="1152"/>
        </w:trPr>
        <w:tc>
          <w:tcPr>
            <w:tcW w:w="846" w:type="dxa"/>
          </w:tcPr>
          <w:p w14:paraId="41D5442C" w14:textId="77777777" w:rsidR="00481C9A" w:rsidRPr="00AB627D" w:rsidRDefault="00481C9A" w:rsidP="00481C9A">
            <w:pPr>
              <w:pStyle w:val="ListParagraph"/>
              <w:numPr>
                <w:ilvl w:val="0"/>
                <w:numId w:val="1"/>
              </w:numPr>
              <w:rPr>
                <w:rFonts w:ascii="Calibri" w:hAnsi="Calibri" w:cs="Calibri"/>
                <w:color w:val="000000" w:themeColor="text1"/>
                <w:lang w:val="en-GB"/>
              </w:rPr>
            </w:pPr>
          </w:p>
        </w:tc>
        <w:tc>
          <w:tcPr>
            <w:tcW w:w="2977" w:type="dxa"/>
          </w:tcPr>
          <w:p w14:paraId="2DA51BDC" w14:textId="77777777" w:rsidR="00481C9A" w:rsidRPr="00AB627D" w:rsidRDefault="00481C9A" w:rsidP="00481C9A">
            <w:pPr>
              <w:rPr>
                <w:rFonts w:ascii="Calibri" w:hAnsi="Calibri" w:cs="Calibri"/>
                <w:color w:val="000000" w:themeColor="text1"/>
                <w:lang w:val="en-GB"/>
              </w:rPr>
            </w:pPr>
            <w:r w:rsidRPr="00AB627D">
              <w:rPr>
                <w:rFonts w:ascii="Calibri" w:eastAsia="Calibri" w:hAnsi="Calibri" w:cs="Calibri"/>
                <w:color w:val="000000" w:themeColor="text1"/>
              </w:rPr>
              <w:t xml:space="preserve">Impose more severe sentences for </w:t>
            </w:r>
            <w:r w:rsidRPr="00AB627D">
              <w:rPr>
                <w:rFonts w:ascii="Calibri" w:eastAsia="Calibri" w:hAnsi="Calibri" w:cs="Calibri"/>
                <w:b/>
                <w:color w:val="000000" w:themeColor="text1"/>
              </w:rPr>
              <w:t>reoffending</w:t>
            </w:r>
            <w:r w:rsidRPr="00AB627D">
              <w:rPr>
                <w:rFonts w:ascii="Calibri" w:eastAsia="Calibri" w:hAnsi="Calibri" w:cs="Calibri"/>
                <w:color w:val="000000" w:themeColor="text1"/>
              </w:rPr>
              <w:t xml:space="preserve"> in case of sexual exploitation against children, e.g. by defining reoffending as an aggravating circumstance, regardless of whether the crimes were perpetrated abroad or in-country.</w:t>
            </w:r>
          </w:p>
        </w:tc>
        <w:tc>
          <w:tcPr>
            <w:tcW w:w="1701" w:type="dxa"/>
          </w:tcPr>
          <w:p w14:paraId="322A9287" w14:textId="77777777" w:rsidR="00481C9A" w:rsidRPr="00AB627D" w:rsidRDefault="00481C9A" w:rsidP="00481C9A">
            <w:pPr>
              <w:rPr>
                <w:rFonts w:ascii="Calibri" w:hAnsi="Calibri" w:cs="Calibri"/>
                <w:color w:val="000000" w:themeColor="text1"/>
              </w:rPr>
            </w:pPr>
            <w:r w:rsidRPr="00AB627D">
              <w:rPr>
                <w:rFonts w:asciiTheme="majorHAnsi" w:hAnsiTheme="majorHAnsi" w:cstheme="majorHAnsi"/>
                <w:b/>
                <w:color w:val="000000" w:themeColor="text1"/>
                <w:lang w:val="en-GB"/>
              </w:rPr>
              <w:t>Yes</w:t>
            </w:r>
          </w:p>
        </w:tc>
        <w:tc>
          <w:tcPr>
            <w:tcW w:w="3969" w:type="dxa"/>
          </w:tcPr>
          <w:p w14:paraId="26440316" w14:textId="77777777" w:rsidR="00481C9A" w:rsidRPr="00AB627D" w:rsidRDefault="00481C9A" w:rsidP="00481C9A">
            <w:pPr>
              <w:rPr>
                <w:rFonts w:ascii="Calibri" w:hAnsi="Calibri" w:cs="Calibri"/>
                <w:color w:val="000000" w:themeColor="text1"/>
              </w:rPr>
            </w:pPr>
            <w:r w:rsidRPr="00AB627D">
              <w:rPr>
                <w:rFonts w:ascii="Calibri" w:hAnsi="Calibri" w:cs="Calibri"/>
                <w:color w:val="000000" w:themeColor="text1"/>
              </w:rPr>
              <w:t xml:space="preserve">Under Section 370(6), the Indian Penal Code, persons convicted of the offence of trafficking of minor on more than one occasion are liable to be punished with imprisonment of natural-life and fine. </w:t>
            </w:r>
          </w:p>
          <w:p w14:paraId="1A3725C2" w14:textId="77777777" w:rsidR="00481C9A" w:rsidRPr="00AB627D" w:rsidRDefault="00481C9A" w:rsidP="00481C9A">
            <w:pPr>
              <w:rPr>
                <w:rFonts w:ascii="Calibri" w:hAnsi="Calibri" w:cs="Calibri"/>
                <w:color w:val="000000" w:themeColor="text1"/>
              </w:rPr>
            </w:pPr>
            <w:r w:rsidRPr="00AB627D">
              <w:rPr>
                <w:rFonts w:ascii="Calibri" w:hAnsi="Calibri" w:cs="Calibri"/>
                <w:color w:val="000000" w:themeColor="text1"/>
              </w:rPr>
              <w:t xml:space="preserve">Even otherwise, courts have held recidivism as an aggravating factor especially for offences under the POCSO Act, 2012. </w:t>
            </w:r>
          </w:p>
        </w:tc>
      </w:tr>
      <w:tr w:rsidR="00481C9A" w:rsidRPr="00436380" w14:paraId="276444A7" w14:textId="77777777" w:rsidTr="00481C9A">
        <w:trPr>
          <w:trHeight w:val="576"/>
        </w:trPr>
        <w:tc>
          <w:tcPr>
            <w:tcW w:w="846" w:type="dxa"/>
          </w:tcPr>
          <w:p w14:paraId="12502ACA" w14:textId="77777777" w:rsidR="00481C9A" w:rsidRPr="00AB627D" w:rsidRDefault="00481C9A" w:rsidP="00481C9A">
            <w:pPr>
              <w:pStyle w:val="ListParagraph"/>
              <w:numPr>
                <w:ilvl w:val="0"/>
                <w:numId w:val="1"/>
              </w:numPr>
              <w:spacing w:after="160"/>
              <w:rPr>
                <w:rFonts w:ascii="Calibri" w:hAnsi="Calibri" w:cs="Calibri"/>
                <w:color w:val="000000" w:themeColor="text1"/>
                <w:lang w:val="en-GB"/>
              </w:rPr>
            </w:pPr>
          </w:p>
        </w:tc>
        <w:tc>
          <w:tcPr>
            <w:tcW w:w="2977" w:type="dxa"/>
          </w:tcPr>
          <w:p w14:paraId="2886554F" w14:textId="77777777" w:rsidR="00481C9A" w:rsidRPr="00AB627D" w:rsidRDefault="00481C9A" w:rsidP="00481C9A">
            <w:pPr>
              <w:spacing w:after="160"/>
              <w:rPr>
                <w:rFonts w:ascii="Calibri" w:hAnsi="Calibri" w:cs="Calibri"/>
                <w:color w:val="000000" w:themeColor="text1"/>
              </w:rPr>
            </w:pPr>
            <w:r w:rsidRPr="00AB627D">
              <w:rPr>
                <w:rFonts w:ascii="Calibri" w:eastAsia="Calibri" w:hAnsi="Calibri" w:cs="Calibri"/>
                <w:color w:val="000000" w:themeColor="text1"/>
              </w:rPr>
              <w:t xml:space="preserve">Provide for </w:t>
            </w:r>
            <w:r w:rsidRPr="00AB627D">
              <w:rPr>
                <w:rFonts w:ascii="Calibri" w:eastAsia="Calibri" w:hAnsi="Calibri" w:cs="Calibri"/>
                <w:b/>
                <w:color w:val="000000" w:themeColor="text1"/>
              </w:rPr>
              <w:t>mandatory reporting</w:t>
            </w:r>
            <w:r w:rsidRPr="00AB627D">
              <w:rPr>
                <w:rFonts w:ascii="Calibri" w:eastAsia="Calibri" w:hAnsi="Calibri" w:cs="Calibri"/>
                <w:color w:val="000000" w:themeColor="text1"/>
              </w:rPr>
              <w:t xml:space="preserve"> for particular professions that have likelihood to have contact with kids who might disclose.</w:t>
            </w:r>
          </w:p>
        </w:tc>
        <w:tc>
          <w:tcPr>
            <w:tcW w:w="1701" w:type="dxa"/>
          </w:tcPr>
          <w:p w14:paraId="44838DF1" w14:textId="77777777" w:rsidR="00481C9A" w:rsidRPr="00AB627D" w:rsidRDefault="00481C9A" w:rsidP="00481C9A">
            <w:pPr>
              <w:spacing w:after="160"/>
              <w:rPr>
                <w:rFonts w:ascii="Calibri" w:hAnsi="Calibri" w:cs="Calibri"/>
                <w:color w:val="000000" w:themeColor="text1"/>
              </w:rPr>
            </w:pPr>
            <w:r w:rsidRPr="00AB627D">
              <w:rPr>
                <w:rFonts w:asciiTheme="majorHAnsi" w:hAnsiTheme="majorHAnsi" w:cstheme="majorHAnsi"/>
                <w:b/>
                <w:color w:val="000000" w:themeColor="text1"/>
                <w:lang w:val="en-GB"/>
              </w:rPr>
              <w:t>Yes</w:t>
            </w:r>
          </w:p>
        </w:tc>
        <w:tc>
          <w:tcPr>
            <w:tcW w:w="3969" w:type="dxa"/>
          </w:tcPr>
          <w:p w14:paraId="05E93304" w14:textId="77777777" w:rsidR="00481C9A" w:rsidRPr="00AB627D" w:rsidRDefault="00481C9A" w:rsidP="00481C9A">
            <w:pPr>
              <w:spacing w:after="160"/>
              <w:rPr>
                <w:rFonts w:ascii="Calibri" w:hAnsi="Calibri" w:cs="Calibri"/>
                <w:color w:val="000000" w:themeColor="text1"/>
              </w:rPr>
            </w:pPr>
            <w:r w:rsidRPr="00AB627D">
              <w:rPr>
                <w:rFonts w:ascii="Calibri" w:hAnsi="Calibri" w:cs="Calibri"/>
                <w:color w:val="000000" w:themeColor="text1"/>
              </w:rPr>
              <w:t xml:space="preserve">Pursuant to Sections 19(1) and 21, all persons have a mandatory duty to report offences committed under the POCSO Act. </w:t>
            </w:r>
          </w:p>
          <w:p w14:paraId="5E56D979" w14:textId="77777777" w:rsidR="00481C9A" w:rsidRPr="00AB627D" w:rsidRDefault="00481C9A" w:rsidP="00481C9A">
            <w:pPr>
              <w:spacing w:after="160"/>
              <w:rPr>
                <w:rFonts w:ascii="Calibri" w:hAnsi="Calibri" w:cs="Calibri"/>
                <w:color w:val="000000" w:themeColor="text1"/>
              </w:rPr>
            </w:pPr>
            <w:r w:rsidRPr="00AB627D">
              <w:rPr>
                <w:rFonts w:ascii="Calibri" w:hAnsi="Calibri" w:cs="Calibri"/>
                <w:color w:val="000000" w:themeColor="text1"/>
              </w:rPr>
              <w:t xml:space="preserve">POCSO 2019 Amendment Act has added mandatory reporting duties for private citizens and professionals in relation to CSAM. Private citizens have a duty to report CSAM under Rule 11 of POCSO Rules 2020. </w:t>
            </w:r>
          </w:p>
          <w:p w14:paraId="44E1D990" w14:textId="77777777" w:rsidR="00481C9A" w:rsidRPr="00AB627D" w:rsidRDefault="00481C9A" w:rsidP="00481C9A">
            <w:pPr>
              <w:spacing w:after="160"/>
              <w:rPr>
                <w:rFonts w:ascii="Calibri" w:hAnsi="Calibri" w:cs="Calibri"/>
                <w:color w:val="000000" w:themeColor="text1"/>
              </w:rPr>
            </w:pPr>
            <w:r w:rsidRPr="00AB627D">
              <w:rPr>
                <w:rFonts w:ascii="Calibri" w:hAnsi="Calibri" w:cs="Calibri"/>
                <w:color w:val="000000" w:themeColor="text1"/>
              </w:rPr>
              <w:t xml:space="preserve">- In addition, Section 32 of the Juvenile Justice Act 2015 imposes mandatory reporting duties on certain persons. Accordingly, </w:t>
            </w:r>
            <w:r w:rsidRPr="00AB627D">
              <w:rPr>
                <w:color w:val="000000" w:themeColor="text1"/>
              </w:rPr>
              <w:t xml:space="preserve"> </w:t>
            </w:r>
            <w:r w:rsidRPr="00AB627D">
              <w:rPr>
                <w:rFonts w:ascii="Calibri" w:hAnsi="Calibri" w:cs="Calibri"/>
                <w:color w:val="000000" w:themeColor="text1"/>
              </w:rPr>
              <w:t xml:space="preserve">“any individual or a police officer or any functionary of any </w:t>
            </w:r>
            <w:proofErr w:type="spellStart"/>
            <w:r w:rsidRPr="00AB627D">
              <w:rPr>
                <w:rFonts w:ascii="Calibri" w:hAnsi="Calibri" w:cs="Calibri"/>
                <w:color w:val="000000" w:themeColor="text1"/>
              </w:rPr>
              <w:t>organisation</w:t>
            </w:r>
            <w:proofErr w:type="spellEnd"/>
            <w:r w:rsidRPr="00AB627D">
              <w:rPr>
                <w:rFonts w:ascii="Calibri" w:hAnsi="Calibri" w:cs="Calibri"/>
                <w:color w:val="000000" w:themeColor="text1"/>
              </w:rPr>
              <w:t xml:space="preserve"> or a nursing home or hospital or maternity home, who or which finds and takes charge, or is handed over a child who appears or claims to be abandoned or lost, or a child who appears or claims to be an orphan without family support, shall within twenty-four hours (excluding the time necessary for the journey), give information to the Childline Services or the nearest police station or to a Child Welfare Committee or to the District Child Protection Unit, or hand over the </w:t>
            </w:r>
            <w:r w:rsidRPr="00AB627D">
              <w:rPr>
                <w:rFonts w:ascii="Calibri" w:hAnsi="Calibri" w:cs="Calibri"/>
                <w:color w:val="000000" w:themeColor="text1"/>
              </w:rPr>
              <w:lastRenderedPageBreak/>
              <w:t>child to a child care institution registered under this Act, as the case may be”. Failure to do so in an offence. (Sections 33-34)</w:t>
            </w:r>
          </w:p>
        </w:tc>
      </w:tr>
      <w:tr w:rsidR="00481C9A" w:rsidRPr="00436380" w14:paraId="29FDFE3E" w14:textId="77777777" w:rsidTr="00481C9A">
        <w:trPr>
          <w:trHeight w:val="1440"/>
        </w:trPr>
        <w:tc>
          <w:tcPr>
            <w:tcW w:w="846" w:type="dxa"/>
          </w:tcPr>
          <w:p w14:paraId="4CAA7E41" w14:textId="77777777" w:rsidR="00481C9A" w:rsidRPr="00AB627D" w:rsidRDefault="00481C9A" w:rsidP="00481C9A">
            <w:pPr>
              <w:pStyle w:val="ListParagraph"/>
              <w:numPr>
                <w:ilvl w:val="0"/>
                <w:numId w:val="1"/>
              </w:numPr>
              <w:rPr>
                <w:rFonts w:ascii="Calibri" w:hAnsi="Calibri" w:cs="Calibri"/>
                <w:color w:val="000000" w:themeColor="text1"/>
                <w:lang w:val="en-GB"/>
              </w:rPr>
            </w:pPr>
          </w:p>
        </w:tc>
        <w:tc>
          <w:tcPr>
            <w:tcW w:w="2977" w:type="dxa"/>
          </w:tcPr>
          <w:p w14:paraId="43BA574F" w14:textId="77777777" w:rsidR="00481C9A" w:rsidRPr="00AB627D" w:rsidRDefault="00481C9A" w:rsidP="00481C9A">
            <w:pPr>
              <w:rPr>
                <w:rFonts w:ascii="Calibri" w:hAnsi="Calibri" w:cs="Calibri"/>
                <w:color w:val="000000" w:themeColor="text1"/>
              </w:rPr>
            </w:pPr>
            <w:r w:rsidRPr="00AB627D">
              <w:rPr>
                <w:rFonts w:ascii="Calibri" w:eastAsia="Calibri" w:hAnsi="Calibri" w:cs="Calibri"/>
                <w:color w:val="000000" w:themeColor="text1"/>
              </w:rPr>
              <w:t xml:space="preserve">Establish obligatory government-regulated child protection standards for the tourism industry for example, attach responsibility to an appropriate regulatory authority and/or implement industry specific </w:t>
            </w:r>
            <w:r w:rsidRPr="00AB627D">
              <w:rPr>
                <w:rFonts w:ascii="Calibri" w:eastAsia="Calibri" w:hAnsi="Calibri" w:cs="Calibri"/>
                <w:b/>
                <w:color w:val="000000" w:themeColor="text1"/>
              </w:rPr>
              <w:t>national codes for child protection</w:t>
            </w:r>
            <w:r w:rsidRPr="00AB627D">
              <w:rPr>
                <w:rFonts w:ascii="Calibri" w:eastAsia="Calibri" w:hAnsi="Calibri" w:cs="Calibri"/>
                <w:color w:val="000000" w:themeColor="text1"/>
              </w:rPr>
              <w:t xml:space="preserve"> as a legal requirement for the travel and tourism industry to operate.</w:t>
            </w:r>
          </w:p>
        </w:tc>
        <w:tc>
          <w:tcPr>
            <w:tcW w:w="1701" w:type="dxa"/>
          </w:tcPr>
          <w:p w14:paraId="5EB4476A" w14:textId="77777777" w:rsidR="00481C9A" w:rsidRPr="00AB627D" w:rsidRDefault="00481C9A" w:rsidP="00481C9A">
            <w:pPr>
              <w:rPr>
                <w:rFonts w:ascii="Calibri" w:hAnsi="Calibri" w:cs="Calibri"/>
                <w:color w:val="000000" w:themeColor="text1"/>
              </w:rPr>
            </w:pPr>
            <w:r w:rsidRPr="00AB627D">
              <w:rPr>
                <w:rFonts w:asciiTheme="majorHAnsi" w:hAnsiTheme="majorHAnsi" w:cstheme="majorHAnsi"/>
                <w:b/>
                <w:color w:val="000000" w:themeColor="text1"/>
                <w:lang w:val="en-GB"/>
              </w:rPr>
              <w:t>Partially</w:t>
            </w:r>
          </w:p>
        </w:tc>
        <w:tc>
          <w:tcPr>
            <w:tcW w:w="3969" w:type="dxa"/>
          </w:tcPr>
          <w:p w14:paraId="4524A5EB" w14:textId="77777777" w:rsidR="00481C9A" w:rsidRPr="00AB627D" w:rsidRDefault="00481C9A" w:rsidP="00481C9A">
            <w:pPr>
              <w:rPr>
                <w:rFonts w:ascii="Calibri" w:hAnsi="Calibri" w:cs="Calibri"/>
                <w:color w:val="000000" w:themeColor="text1"/>
              </w:rPr>
            </w:pPr>
            <w:r w:rsidRPr="00AB627D">
              <w:rPr>
                <w:rFonts w:ascii="Calibri" w:hAnsi="Calibri" w:cs="Calibri"/>
                <w:color w:val="000000" w:themeColor="text1"/>
              </w:rPr>
              <w:t xml:space="preserve">In 2010, the Government of India launched a Code of Conduct for Safe and </w:t>
            </w:r>
            <w:proofErr w:type="spellStart"/>
            <w:r w:rsidRPr="00AB627D">
              <w:rPr>
                <w:rFonts w:ascii="Calibri" w:hAnsi="Calibri" w:cs="Calibri"/>
                <w:color w:val="000000" w:themeColor="text1"/>
              </w:rPr>
              <w:t>Honourable</w:t>
            </w:r>
            <w:proofErr w:type="spellEnd"/>
            <w:r w:rsidRPr="00AB627D">
              <w:rPr>
                <w:rFonts w:ascii="Calibri" w:hAnsi="Calibri" w:cs="Calibri"/>
                <w:color w:val="000000" w:themeColor="text1"/>
              </w:rPr>
              <w:t xml:space="preserve"> Tourism. The code aims to “aid the prevention of prostitution, sex tourism and forms of sexual exploitations like assaults and molestations in tourism to safeguard the safety of persons, in particular women and children”. The signatories of the Code are “committed to act in a manner that protects the dignity and freedom against exploitation of persons especially women and children and facilitate prevention of incidences of sexual molestation, harassment of their guests and provide assistance in case of an untoward incident”. However, this Code only binds the signatories. </w:t>
            </w:r>
          </w:p>
        </w:tc>
      </w:tr>
      <w:tr w:rsidR="00481C9A" w:rsidRPr="00436380" w14:paraId="666F5114" w14:textId="77777777" w:rsidTr="00481C9A">
        <w:trPr>
          <w:trHeight w:val="1008"/>
        </w:trPr>
        <w:tc>
          <w:tcPr>
            <w:tcW w:w="846" w:type="dxa"/>
          </w:tcPr>
          <w:p w14:paraId="100F4A26" w14:textId="77777777" w:rsidR="00481C9A" w:rsidRPr="00AB627D" w:rsidRDefault="00481C9A" w:rsidP="00481C9A">
            <w:pPr>
              <w:pStyle w:val="ListParagraph"/>
              <w:numPr>
                <w:ilvl w:val="0"/>
                <w:numId w:val="1"/>
              </w:numPr>
              <w:rPr>
                <w:rFonts w:ascii="Calibri" w:hAnsi="Calibri" w:cs="Calibri"/>
                <w:color w:val="000000" w:themeColor="text1"/>
                <w:lang w:val="en-GB"/>
              </w:rPr>
            </w:pPr>
          </w:p>
        </w:tc>
        <w:tc>
          <w:tcPr>
            <w:tcW w:w="2977" w:type="dxa"/>
          </w:tcPr>
          <w:p w14:paraId="359C3B11" w14:textId="77777777" w:rsidR="00481C9A" w:rsidRPr="00AB627D" w:rsidRDefault="00481C9A" w:rsidP="00481C9A">
            <w:pPr>
              <w:rPr>
                <w:rFonts w:asciiTheme="majorHAnsi" w:hAnsiTheme="majorHAnsi" w:cstheme="majorHAnsi"/>
                <w:color w:val="000000" w:themeColor="text1"/>
              </w:rPr>
            </w:pPr>
            <w:r w:rsidRPr="00AB627D">
              <w:rPr>
                <w:rFonts w:asciiTheme="majorHAnsi" w:hAnsiTheme="majorHAnsi" w:cstheme="majorHAnsi"/>
                <w:color w:val="000000" w:themeColor="text1"/>
              </w:rPr>
              <w:t xml:space="preserve">Ensure the </w:t>
            </w:r>
            <w:r w:rsidRPr="00AB627D">
              <w:rPr>
                <w:rFonts w:asciiTheme="majorHAnsi" w:hAnsiTheme="majorHAnsi" w:cstheme="majorHAnsi"/>
                <w:b/>
                <w:color w:val="000000" w:themeColor="text1"/>
              </w:rPr>
              <w:t>liability of travel and tourism businesses</w:t>
            </w:r>
            <w:r w:rsidRPr="00AB627D">
              <w:rPr>
                <w:rFonts w:asciiTheme="majorHAnsi" w:hAnsiTheme="majorHAnsi" w:cstheme="majorHAnsi"/>
                <w:color w:val="000000" w:themeColor="text1"/>
              </w:rPr>
              <w:t xml:space="preserve"> (in operations and supply chains) for criminal conduct including:</w:t>
            </w:r>
          </w:p>
          <w:p w14:paraId="4592DBE8" w14:textId="77777777" w:rsidR="00481C9A" w:rsidRPr="00AB627D" w:rsidRDefault="00481C9A" w:rsidP="00481C9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0000" w:themeColor="text1"/>
              </w:rPr>
            </w:pPr>
            <w:proofErr w:type="spellStart"/>
            <w:r w:rsidRPr="00AB627D">
              <w:rPr>
                <w:rFonts w:asciiTheme="majorHAnsi" w:hAnsiTheme="majorHAnsi" w:cstheme="majorHAnsi"/>
                <w:color w:val="000000" w:themeColor="text1"/>
              </w:rPr>
              <w:t>Organising</w:t>
            </w:r>
            <w:proofErr w:type="spellEnd"/>
            <w:r w:rsidRPr="00AB627D">
              <w:rPr>
                <w:rFonts w:asciiTheme="majorHAnsi" w:hAnsiTheme="majorHAnsi" w:cstheme="majorHAnsi"/>
                <w:color w:val="000000" w:themeColor="text1"/>
              </w:rPr>
              <w:t xml:space="preserve"> travel arrangements or transportation that are explicitly or implicitly meant to create or facilitate opportunities to engage (involve) children in sexual activities;</w:t>
            </w:r>
          </w:p>
          <w:p w14:paraId="2E0B403A" w14:textId="77777777" w:rsidR="00481C9A" w:rsidRPr="00AB627D" w:rsidRDefault="00481C9A" w:rsidP="00481C9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0000" w:themeColor="text1"/>
              </w:rPr>
            </w:pPr>
            <w:r w:rsidRPr="00AB627D">
              <w:rPr>
                <w:rFonts w:asciiTheme="majorHAnsi" w:hAnsiTheme="majorHAnsi" w:cstheme="majorHAnsi"/>
                <w:color w:val="000000" w:themeColor="text1"/>
              </w:rPr>
              <w:t>Procuring, aiding or abetting the exploitative sexual conduct with a child;</w:t>
            </w:r>
          </w:p>
          <w:p w14:paraId="00ABCEF6" w14:textId="77777777" w:rsidR="00481C9A" w:rsidRPr="00AB627D" w:rsidRDefault="00481C9A" w:rsidP="00481C9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0000" w:themeColor="text1"/>
              </w:rPr>
            </w:pPr>
            <w:r w:rsidRPr="00AB627D">
              <w:rPr>
                <w:rFonts w:asciiTheme="majorHAnsi" w:hAnsiTheme="majorHAnsi" w:cstheme="majorHAnsi"/>
                <w:color w:val="000000" w:themeColor="text1"/>
              </w:rPr>
              <w:t xml:space="preserve">Advertising or promoting </w:t>
            </w:r>
            <w:r w:rsidRPr="00AB627D">
              <w:rPr>
                <w:rFonts w:asciiTheme="majorHAnsi" w:hAnsiTheme="majorHAnsi" w:cstheme="majorHAnsi"/>
                <w:color w:val="000000" w:themeColor="text1"/>
              </w:rPr>
              <w:lastRenderedPageBreak/>
              <w:t>sexual exploitation of children;</w:t>
            </w:r>
          </w:p>
          <w:p w14:paraId="5A2F5755" w14:textId="77777777" w:rsidR="00481C9A" w:rsidRPr="00AB627D" w:rsidRDefault="00481C9A" w:rsidP="00481C9A">
            <w:pPr>
              <w:pStyle w:val="ListParagraph"/>
              <w:numPr>
                <w:ilvl w:val="0"/>
                <w:numId w:val="3"/>
              </w:numPr>
              <w:rPr>
                <w:rFonts w:ascii="Calibri" w:hAnsi="Calibri" w:cs="Calibri"/>
                <w:color w:val="000000" w:themeColor="text1"/>
                <w:lang w:val="en-GB"/>
              </w:rPr>
            </w:pPr>
            <w:r w:rsidRPr="00AB627D">
              <w:rPr>
                <w:rFonts w:asciiTheme="majorHAnsi" w:hAnsiTheme="majorHAnsi" w:cstheme="majorHAnsi"/>
                <w:color w:val="000000" w:themeColor="text1"/>
              </w:rPr>
              <w:t>Benefitting, by any means, from any form of sexual exploitation of a child (or children) in the context of their travel and tourism business.</w:t>
            </w:r>
          </w:p>
        </w:tc>
        <w:tc>
          <w:tcPr>
            <w:tcW w:w="1701" w:type="dxa"/>
          </w:tcPr>
          <w:p w14:paraId="653638E9" w14:textId="77777777" w:rsidR="00481C9A" w:rsidRPr="00AB627D" w:rsidRDefault="00481C9A" w:rsidP="00481C9A">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000000" w:themeColor="text1"/>
              </w:rPr>
            </w:pPr>
            <w:r w:rsidRPr="00AB627D">
              <w:rPr>
                <w:rFonts w:asciiTheme="majorHAnsi" w:hAnsiTheme="majorHAnsi" w:cstheme="majorHAnsi"/>
                <w:b/>
                <w:color w:val="000000" w:themeColor="text1"/>
                <w:lang w:val="en-GB"/>
              </w:rPr>
              <w:lastRenderedPageBreak/>
              <w:t>Partially</w:t>
            </w:r>
          </w:p>
        </w:tc>
        <w:tc>
          <w:tcPr>
            <w:tcW w:w="3969" w:type="dxa"/>
          </w:tcPr>
          <w:p w14:paraId="6C323090" w14:textId="77777777" w:rsidR="00481C9A" w:rsidRPr="00AB627D" w:rsidRDefault="00481C9A" w:rsidP="00481C9A">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000000" w:themeColor="text1"/>
              </w:rPr>
            </w:pPr>
            <w:r w:rsidRPr="00AB627D">
              <w:rPr>
                <w:rFonts w:ascii="Calibri" w:hAnsi="Calibri" w:cs="Calibri"/>
                <w:color w:val="000000" w:themeColor="text1"/>
              </w:rPr>
              <w:t>Under Section 7(c) of Immoral Traffic Prevention Act, 1956, letting out a hotel or any part there off for prostitution involving a child is an offence for which the license of the hotel can be cancelled.</w:t>
            </w:r>
          </w:p>
          <w:p w14:paraId="5C7DF00F" w14:textId="77777777" w:rsidR="00481C9A" w:rsidRPr="00AB627D" w:rsidRDefault="00481C9A" w:rsidP="00481C9A">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000000" w:themeColor="text1"/>
              </w:rPr>
            </w:pPr>
            <w:r w:rsidRPr="00AB627D">
              <w:rPr>
                <w:rFonts w:ascii="Calibri" w:hAnsi="Calibri" w:cs="Calibri"/>
                <w:color w:val="000000" w:themeColor="text1"/>
              </w:rPr>
              <w:t xml:space="preserve">Although there is no exclusive legislation that regulates or establishes the liability of the private travel and tourism sector for SECTT, they could be held liable under various provisions of the existing laws such as ITPA, IPC, POCSO, etc. </w:t>
            </w:r>
          </w:p>
        </w:tc>
      </w:tr>
      <w:tr w:rsidR="00481C9A" w:rsidRPr="00436380" w14:paraId="04569052" w14:textId="77777777" w:rsidTr="00481C9A">
        <w:trPr>
          <w:trHeight w:val="720"/>
        </w:trPr>
        <w:tc>
          <w:tcPr>
            <w:tcW w:w="846" w:type="dxa"/>
          </w:tcPr>
          <w:p w14:paraId="5786601B" w14:textId="77777777" w:rsidR="00481C9A" w:rsidRPr="00AB627D" w:rsidRDefault="00481C9A" w:rsidP="00481C9A">
            <w:pPr>
              <w:pStyle w:val="ListParagraph"/>
              <w:numPr>
                <w:ilvl w:val="0"/>
                <w:numId w:val="1"/>
              </w:numPr>
              <w:rPr>
                <w:rFonts w:ascii="Calibri" w:hAnsi="Calibri" w:cs="Calibri"/>
                <w:color w:val="000000" w:themeColor="text1"/>
                <w:lang w:val="en-GB"/>
              </w:rPr>
            </w:pPr>
          </w:p>
        </w:tc>
        <w:tc>
          <w:tcPr>
            <w:tcW w:w="2977" w:type="dxa"/>
          </w:tcPr>
          <w:p w14:paraId="5921BE9A" w14:textId="77777777" w:rsidR="00481C9A" w:rsidRPr="00AB627D" w:rsidRDefault="00481C9A" w:rsidP="00481C9A">
            <w:pPr>
              <w:rPr>
                <w:rFonts w:ascii="Calibri" w:hAnsi="Calibri" w:cs="Calibri"/>
                <w:color w:val="000000" w:themeColor="text1"/>
                <w:lang w:val="en-GB"/>
              </w:rPr>
            </w:pPr>
            <w:proofErr w:type="spellStart"/>
            <w:r w:rsidRPr="00AB627D">
              <w:rPr>
                <w:rFonts w:ascii="Calibri" w:eastAsia="Calibri" w:hAnsi="Calibri" w:cs="Calibri"/>
                <w:color w:val="000000" w:themeColor="text1"/>
              </w:rPr>
              <w:t>Criminalise</w:t>
            </w:r>
            <w:proofErr w:type="spellEnd"/>
            <w:r w:rsidRPr="00AB627D">
              <w:rPr>
                <w:rFonts w:ascii="Calibri" w:eastAsia="Calibri" w:hAnsi="Calibri" w:cs="Calibri"/>
                <w:color w:val="000000" w:themeColor="text1"/>
              </w:rPr>
              <w:t xml:space="preserve"> the </w:t>
            </w:r>
            <w:r w:rsidRPr="00AB627D">
              <w:rPr>
                <w:rFonts w:ascii="Calibri" w:eastAsia="Calibri" w:hAnsi="Calibri" w:cs="Calibri"/>
                <w:b/>
                <w:color w:val="000000" w:themeColor="text1"/>
              </w:rPr>
              <w:t>grooming of children for sexual purposes</w:t>
            </w:r>
            <w:r w:rsidRPr="00AB627D">
              <w:rPr>
                <w:rFonts w:ascii="Calibri" w:eastAsia="Calibri" w:hAnsi="Calibri" w:cs="Calibri"/>
                <w:color w:val="000000" w:themeColor="text1"/>
              </w:rPr>
              <w:t xml:space="preserve"> (often called ‘solicitation’ in </w:t>
            </w:r>
            <w:proofErr w:type="gramStart"/>
            <w:r w:rsidRPr="00AB627D">
              <w:rPr>
                <w:rFonts w:ascii="Calibri" w:eastAsia="Calibri" w:hAnsi="Calibri" w:cs="Calibri"/>
                <w:color w:val="000000" w:themeColor="text1"/>
              </w:rPr>
              <w:t>law)  including</w:t>
            </w:r>
            <w:proofErr w:type="gramEnd"/>
            <w:r w:rsidRPr="00AB627D">
              <w:rPr>
                <w:rFonts w:ascii="Calibri" w:eastAsia="Calibri" w:hAnsi="Calibri" w:cs="Calibri"/>
                <w:color w:val="000000" w:themeColor="text1"/>
              </w:rPr>
              <w:t xml:space="preserve"> through Internet and other communication technologies to facilitate either online or offline sexual exploitation.</w:t>
            </w:r>
          </w:p>
        </w:tc>
        <w:tc>
          <w:tcPr>
            <w:tcW w:w="1701" w:type="dxa"/>
          </w:tcPr>
          <w:p w14:paraId="7E9A0F21" w14:textId="77777777" w:rsidR="00481C9A" w:rsidRPr="00AB627D" w:rsidRDefault="00481C9A" w:rsidP="00481C9A">
            <w:pPr>
              <w:rPr>
                <w:rFonts w:ascii="Calibri" w:hAnsi="Calibri" w:cs="Calibri"/>
                <w:color w:val="000000" w:themeColor="text1"/>
              </w:rPr>
            </w:pPr>
            <w:r w:rsidRPr="00AB627D">
              <w:rPr>
                <w:rFonts w:asciiTheme="majorHAnsi" w:hAnsiTheme="majorHAnsi" w:cstheme="majorHAnsi"/>
                <w:b/>
                <w:color w:val="000000" w:themeColor="text1"/>
                <w:lang w:val="en-GB"/>
              </w:rPr>
              <w:t>No</w:t>
            </w:r>
          </w:p>
        </w:tc>
        <w:tc>
          <w:tcPr>
            <w:tcW w:w="3969" w:type="dxa"/>
          </w:tcPr>
          <w:p w14:paraId="7743687C" w14:textId="77777777" w:rsidR="00481C9A" w:rsidRPr="00AB627D" w:rsidRDefault="00481C9A" w:rsidP="00481C9A">
            <w:pPr>
              <w:rPr>
                <w:rFonts w:ascii="Calibri" w:hAnsi="Calibri" w:cs="Calibri"/>
                <w:color w:val="000000" w:themeColor="text1"/>
              </w:rPr>
            </w:pPr>
            <w:r w:rsidRPr="00AB627D">
              <w:rPr>
                <w:rFonts w:ascii="Calibri" w:hAnsi="Calibri" w:cs="Calibri"/>
                <w:color w:val="000000" w:themeColor="text1"/>
              </w:rPr>
              <w:t xml:space="preserve">The I.T. Act, 2000, does not explicitly </w:t>
            </w:r>
            <w:proofErr w:type="spellStart"/>
            <w:r w:rsidRPr="00AB627D">
              <w:rPr>
                <w:rFonts w:ascii="Calibri" w:hAnsi="Calibri" w:cs="Calibri"/>
                <w:color w:val="000000" w:themeColor="text1"/>
              </w:rPr>
              <w:t>criminalise</w:t>
            </w:r>
            <w:proofErr w:type="spellEnd"/>
            <w:r w:rsidRPr="00AB627D">
              <w:rPr>
                <w:rFonts w:ascii="Calibri" w:hAnsi="Calibri" w:cs="Calibri"/>
                <w:color w:val="000000" w:themeColor="text1"/>
              </w:rPr>
              <w:t xml:space="preserve"> the offence of grooming. However, according to Section 67B(c) of the Act, any person who “cultivates, entices or induces children to online relationship with one or more children for and on sexually explicit act or in a manner that may offend a reasonable adult on the computer resource” is liable to be punished. </w:t>
            </w:r>
          </w:p>
          <w:p w14:paraId="700C54DB" w14:textId="77777777" w:rsidR="00481C9A" w:rsidRPr="00AB627D" w:rsidRDefault="00481C9A" w:rsidP="00481C9A">
            <w:pPr>
              <w:rPr>
                <w:rFonts w:ascii="Calibri" w:hAnsi="Calibri" w:cs="Calibri"/>
                <w:color w:val="000000" w:themeColor="text1"/>
              </w:rPr>
            </w:pPr>
          </w:p>
          <w:p w14:paraId="2420407C" w14:textId="77777777" w:rsidR="00481C9A" w:rsidRPr="00AB627D" w:rsidRDefault="00481C9A" w:rsidP="00481C9A">
            <w:pPr>
              <w:rPr>
                <w:rFonts w:ascii="Calibri" w:hAnsi="Calibri" w:cs="Calibri"/>
                <w:color w:val="000000" w:themeColor="text1"/>
              </w:rPr>
            </w:pPr>
            <w:r w:rsidRPr="00AB627D">
              <w:rPr>
                <w:rFonts w:ascii="Calibri" w:hAnsi="Calibri" w:cs="Calibri"/>
                <w:color w:val="000000" w:themeColor="text1"/>
              </w:rPr>
              <w:t xml:space="preserve">The POCSO Act punishes anyone who “repeatedly or constantly follows or watches or contacts a child either directly or through electronic, digital or any other means” with sexual intent.  Whilst this provision is </w:t>
            </w:r>
            <w:proofErr w:type="spellStart"/>
            <w:r w:rsidRPr="00AB627D">
              <w:rPr>
                <w:rFonts w:ascii="Calibri" w:hAnsi="Calibri" w:cs="Calibri"/>
                <w:color w:val="000000" w:themeColor="text1"/>
              </w:rPr>
              <w:t>categorised</w:t>
            </w:r>
            <w:proofErr w:type="spellEnd"/>
            <w:r w:rsidRPr="00AB627D">
              <w:rPr>
                <w:rFonts w:ascii="Calibri" w:hAnsi="Calibri" w:cs="Calibri"/>
                <w:color w:val="000000" w:themeColor="text1"/>
              </w:rPr>
              <w:t xml:space="preserve"> under sexual harassment it could be invoked to prosecute online grooming offences. However, it could be improved to offer heightened protection to children by explicitly </w:t>
            </w:r>
            <w:proofErr w:type="spellStart"/>
            <w:r w:rsidRPr="00AB627D">
              <w:rPr>
                <w:rFonts w:ascii="Calibri" w:hAnsi="Calibri" w:cs="Calibri"/>
                <w:color w:val="000000" w:themeColor="text1"/>
              </w:rPr>
              <w:t>criminalising</w:t>
            </w:r>
            <w:proofErr w:type="spellEnd"/>
            <w:r w:rsidRPr="00AB627D">
              <w:rPr>
                <w:rFonts w:ascii="Calibri" w:hAnsi="Calibri" w:cs="Calibri"/>
                <w:color w:val="000000" w:themeColor="text1"/>
              </w:rPr>
              <w:t xml:space="preserve"> the intentional proposal to meet a child for sexual purposes and when the sexual abuse has not occurred in person but online.</w:t>
            </w:r>
          </w:p>
        </w:tc>
      </w:tr>
      <w:tr w:rsidR="00481C9A" w:rsidRPr="00436380" w14:paraId="1D3F4D66" w14:textId="77777777" w:rsidTr="00481C9A">
        <w:trPr>
          <w:trHeight w:val="576"/>
        </w:trPr>
        <w:tc>
          <w:tcPr>
            <w:tcW w:w="846" w:type="dxa"/>
          </w:tcPr>
          <w:p w14:paraId="07EB40E8" w14:textId="77777777" w:rsidR="00481C9A" w:rsidRPr="00AB627D" w:rsidRDefault="00481C9A" w:rsidP="00481C9A">
            <w:pPr>
              <w:pStyle w:val="ListParagraph"/>
              <w:numPr>
                <w:ilvl w:val="0"/>
                <w:numId w:val="1"/>
              </w:numPr>
              <w:rPr>
                <w:rFonts w:ascii="Calibri" w:hAnsi="Calibri" w:cs="Calibri"/>
                <w:color w:val="000000" w:themeColor="text1"/>
                <w:lang w:val="en-GB"/>
              </w:rPr>
            </w:pPr>
          </w:p>
        </w:tc>
        <w:tc>
          <w:tcPr>
            <w:tcW w:w="2977" w:type="dxa"/>
          </w:tcPr>
          <w:p w14:paraId="6725B0B6" w14:textId="77777777" w:rsidR="00481C9A" w:rsidRPr="00AB627D" w:rsidRDefault="00481C9A" w:rsidP="00481C9A">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color w:val="000000" w:themeColor="text1"/>
              </w:rPr>
            </w:pPr>
            <w:r w:rsidRPr="00AB627D">
              <w:rPr>
                <w:rFonts w:ascii="Calibri" w:eastAsia="Calibri" w:hAnsi="Calibri" w:cs="Calibri"/>
                <w:color w:val="000000" w:themeColor="text1"/>
              </w:rPr>
              <w:t xml:space="preserve">Establish legislation requiring for a </w:t>
            </w:r>
            <w:r w:rsidRPr="00AB627D">
              <w:rPr>
                <w:rFonts w:ascii="Calibri" w:eastAsia="Calibri" w:hAnsi="Calibri" w:cs="Calibri"/>
                <w:b/>
                <w:color w:val="000000" w:themeColor="text1"/>
              </w:rPr>
              <w:t>criminal background check</w:t>
            </w:r>
            <w:r w:rsidRPr="00AB627D">
              <w:rPr>
                <w:rFonts w:ascii="Calibri" w:eastAsia="Calibri" w:hAnsi="Calibri" w:cs="Calibri"/>
                <w:color w:val="000000" w:themeColor="text1"/>
              </w:rPr>
              <w:t xml:space="preserve"> for every person (national or non-national) applying for work with or for children or who is currently working with or for children. Introduce legislation prohibiting convicted sex offenders to hold positions involving or facilitating contact with children.</w:t>
            </w:r>
          </w:p>
        </w:tc>
        <w:tc>
          <w:tcPr>
            <w:tcW w:w="1701" w:type="dxa"/>
          </w:tcPr>
          <w:p w14:paraId="2BF92B4E" w14:textId="77777777" w:rsidR="00481C9A" w:rsidRPr="00AB627D" w:rsidRDefault="00481C9A" w:rsidP="00481C9A">
            <w:pPr>
              <w:rPr>
                <w:rFonts w:ascii="Calibri" w:hAnsi="Calibri" w:cs="Calibri"/>
                <w:color w:val="000000" w:themeColor="text1"/>
              </w:rPr>
            </w:pPr>
            <w:r w:rsidRPr="00AB627D">
              <w:rPr>
                <w:rFonts w:asciiTheme="majorHAnsi" w:hAnsiTheme="majorHAnsi" w:cstheme="majorHAnsi"/>
                <w:b/>
                <w:color w:val="000000" w:themeColor="text1"/>
                <w:lang w:val="en-GB"/>
              </w:rPr>
              <w:t>Partially</w:t>
            </w:r>
          </w:p>
        </w:tc>
        <w:tc>
          <w:tcPr>
            <w:tcW w:w="3969" w:type="dxa"/>
          </w:tcPr>
          <w:p w14:paraId="10FF2C7A" w14:textId="77777777" w:rsidR="00481C9A" w:rsidRPr="00AB627D" w:rsidRDefault="00481C9A" w:rsidP="00481C9A">
            <w:pPr>
              <w:rPr>
                <w:rFonts w:ascii="Calibri" w:hAnsi="Calibri" w:cs="Calibri"/>
                <w:color w:val="000000" w:themeColor="text1"/>
                <w:shd w:val="clear" w:color="auto" w:fill="FFFFFF"/>
              </w:rPr>
            </w:pPr>
            <w:r w:rsidRPr="00AB627D">
              <w:rPr>
                <w:rFonts w:ascii="Calibri" w:hAnsi="Calibri" w:cs="Calibri"/>
                <w:color w:val="000000" w:themeColor="text1"/>
                <w:shd w:val="clear" w:color="auto" w:fill="FFFFFF"/>
              </w:rPr>
              <w:t xml:space="preserve">According to Rule 3(4) of the POCSO Rules, 2020, “any institution housing children or coming in regular contact with children including schools, crèches, sports academies or any other facility for children must ensure a police verification and background check on periodic basis, of every staff, teaching or non-teaching, regular or contractual, or any other person being an employee of such Institution coming in contact with the </w:t>
            </w:r>
            <w:r w:rsidRPr="00AB627D">
              <w:rPr>
                <w:rFonts w:ascii="Calibri" w:hAnsi="Calibri" w:cs="Calibri"/>
                <w:color w:val="000000" w:themeColor="text1"/>
                <w:shd w:val="clear" w:color="auto" w:fill="FFFFFF"/>
              </w:rPr>
              <w:lastRenderedPageBreak/>
              <w:t>child”.  Volunteers do not seem to be included in such provision.</w:t>
            </w:r>
          </w:p>
          <w:p w14:paraId="2859EF55" w14:textId="77777777" w:rsidR="00481C9A" w:rsidRPr="00AB627D" w:rsidRDefault="00481C9A" w:rsidP="00481C9A">
            <w:pPr>
              <w:rPr>
                <w:rFonts w:ascii="Calibri" w:hAnsi="Calibri" w:cs="Calibri"/>
                <w:color w:val="000000" w:themeColor="text1"/>
              </w:rPr>
            </w:pPr>
            <w:r w:rsidRPr="00AB627D">
              <w:rPr>
                <w:rFonts w:ascii="Calibri" w:hAnsi="Calibri" w:cs="Calibri"/>
                <w:color w:val="000000" w:themeColor="text1"/>
                <w:shd w:val="clear" w:color="auto" w:fill="FFFFFF"/>
              </w:rPr>
              <w:t>However, there is no law or legal provision that prohibits convicted sexual offenders from holding positions involving or facilitating contact with children.</w:t>
            </w:r>
          </w:p>
        </w:tc>
      </w:tr>
      <w:tr w:rsidR="00481C9A" w:rsidRPr="00436380" w14:paraId="2EC529B7" w14:textId="77777777" w:rsidTr="00481C9A">
        <w:trPr>
          <w:trHeight w:val="576"/>
        </w:trPr>
        <w:tc>
          <w:tcPr>
            <w:tcW w:w="846" w:type="dxa"/>
          </w:tcPr>
          <w:p w14:paraId="2088FA67" w14:textId="77777777" w:rsidR="00481C9A" w:rsidRPr="00AB627D" w:rsidRDefault="00481C9A" w:rsidP="00481C9A">
            <w:pPr>
              <w:pStyle w:val="ListParagraph"/>
              <w:numPr>
                <w:ilvl w:val="0"/>
                <w:numId w:val="1"/>
              </w:numPr>
              <w:rPr>
                <w:rFonts w:ascii="Calibri" w:hAnsi="Calibri" w:cs="Calibri"/>
                <w:color w:val="000000" w:themeColor="text1"/>
                <w:lang w:val="en-GB"/>
              </w:rPr>
            </w:pPr>
          </w:p>
        </w:tc>
        <w:tc>
          <w:tcPr>
            <w:tcW w:w="2977" w:type="dxa"/>
          </w:tcPr>
          <w:p w14:paraId="41FB0BAC" w14:textId="77777777" w:rsidR="00481C9A" w:rsidRPr="00AB627D" w:rsidRDefault="00481C9A" w:rsidP="00481C9A">
            <w:pPr>
              <w:pBdr>
                <w:top w:val="none" w:sz="0" w:space="0" w:color="auto"/>
                <w:left w:val="none" w:sz="0" w:space="0" w:color="auto"/>
                <w:bottom w:val="none" w:sz="0" w:space="0" w:color="auto"/>
                <w:right w:val="none" w:sz="0" w:space="0" w:color="auto"/>
                <w:between w:val="none" w:sz="0" w:space="0" w:color="auto"/>
              </w:pBdr>
              <w:textAlignment w:val="baseline"/>
              <w:rPr>
                <w:rFonts w:ascii="Calibri" w:eastAsia="Times New Roman" w:hAnsi="Calibri" w:cs="Calibri"/>
                <w:color w:val="000000" w:themeColor="text1"/>
                <w:highlight w:val="yellow"/>
              </w:rPr>
            </w:pPr>
            <w:r w:rsidRPr="00AB627D">
              <w:rPr>
                <w:rFonts w:ascii="Calibri" w:eastAsia="Calibri" w:hAnsi="Calibri" w:cs="Calibri"/>
                <w:color w:val="000000" w:themeColor="text1"/>
              </w:rPr>
              <w:t xml:space="preserve">Regulate and monitor the use of volunteers (including in </w:t>
            </w:r>
            <w:r w:rsidRPr="00AB627D">
              <w:rPr>
                <w:rFonts w:ascii="Calibri" w:eastAsia="Calibri" w:hAnsi="Calibri" w:cs="Calibri"/>
                <w:b/>
                <w:color w:val="000000" w:themeColor="text1"/>
              </w:rPr>
              <w:t>‘voluntourism’</w:t>
            </w:r>
            <w:r w:rsidRPr="00AB627D">
              <w:rPr>
                <w:rFonts w:ascii="Calibri" w:eastAsia="Calibri" w:hAnsi="Calibri" w:cs="Calibri"/>
                <w:color w:val="000000" w:themeColor="text1"/>
              </w:rPr>
              <w:t xml:space="preserve">) in settings and activities that involve direct contact with children, particularly prohibiting visits to orphanages/residential care settings in </w:t>
            </w:r>
            <w:proofErr w:type="spellStart"/>
            <w:r w:rsidRPr="00AB627D">
              <w:rPr>
                <w:rFonts w:ascii="Calibri" w:eastAsia="Calibri" w:hAnsi="Calibri" w:cs="Calibri"/>
                <w:color w:val="000000" w:themeColor="text1"/>
              </w:rPr>
              <w:t>favour</w:t>
            </w:r>
            <w:proofErr w:type="spellEnd"/>
            <w:r w:rsidRPr="00AB627D">
              <w:rPr>
                <w:rFonts w:ascii="Calibri" w:eastAsia="Calibri" w:hAnsi="Calibri" w:cs="Calibri"/>
                <w:color w:val="000000" w:themeColor="text1"/>
              </w:rPr>
              <w:t xml:space="preserve"> of redirecting the industry towards solutions that support community-based care.</w:t>
            </w:r>
          </w:p>
        </w:tc>
        <w:tc>
          <w:tcPr>
            <w:tcW w:w="1701" w:type="dxa"/>
          </w:tcPr>
          <w:p w14:paraId="56FB9F8C" w14:textId="77777777" w:rsidR="00481C9A" w:rsidRPr="00AB627D" w:rsidRDefault="00481C9A" w:rsidP="00481C9A">
            <w:pPr>
              <w:rPr>
                <w:rFonts w:asciiTheme="majorHAnsi" w:hAnsiTheme="majorHAnsi" w:cstheme="majorHAnsi"/>
                <w:b/>
                <w:color w:val="000000" w:themeColor="text1"/>
                <w:lang w:val="en-GB"/>
              </w:rPr>
            </w:pPr>
            <w:r w:rsidRPr="00AB627D">
              <w:rPr>
                <w:rFonts w:asciiTheme="majorHAnsi" w:hAnsiTheme="majorHAnsi" w:cstheme="majorHAnsi"/>
                <w:b/>
                <w:color w:val="000000" w:themeColor="text1"/>
                <w:lang w:val="en-GB"/>
              </w:rPr>
              <w:t>No</w:t>
            </w:r>
          </w:p>
        </w:tc>
        <w:tc>
          <w:tcPr>
            <w:tcW w:w="3969" w:type="dxa"/>
          </w:tcPr>
          <w:p w14:paraId="0E24A471" w14:textId="77777777" w:rsidR="00481C9A" w:rsidRPr="00AB627D" w:rsidRDefault="00481C9A" w:rsidP="00481C9A">
            <w:pPr>
              <w:rPr>
                <w:rFonts w:ascii="Calibri" w:hAnsi="Calibri" w:cs="Calibri"/>
                <w:color w:val="000000" w:themeColor="text1"/>
                <w:shd w:val="clear" w:color="auto" w:fill="FFFFFF"/>
              </w:rPr>
            </w:pPr>
          </w:p>
        </w:tc>
      </w:tr>
      <w:tr w:rsidR="00481C9A" w:rsidRPr="00436380" w14:paraId="4B6C96EC" w14:textId="77777777" w:rsidTr="00481C9A">
        <w:trPr>
          <w:trHeight w:val="576"/>
        </w:trPr>
        <w:tc>
          <w:tcPr>
            <w:tcW w:w="846" w:type="dxa"/>
          </w:tcPr>
          <w:p w14:paraId="5CDE20D4" w14:textId="77777777" w:rsidR="00481C9A" w:rsidRPr="00AB627D" w:rsidRDefault="00481C9A" w:rsidP="00481C9A">
            <w:pPr>
              <w:pStyle w:val="ListParagraph"/>
              <w:numPr>
                <w:ilvl w:val="0"/>
                <w:numId w:val="1"/>
              </w:numPr>
              <w:rPr>
                <w:rFonts w:ascii="Calibri" w:hAnsi="Calibri" w:cs="Calibri"/>
                <w:color w:val="000000" w:themeColor="text1"/>
                <w:lang w:val="en-GB"/>
              </w:rPr>
            </w:pPr>
          </w:p>
        </w:tc>
        <w:tc>
          <w:tcPr>
            <w:tcW w:w="2977" w:type="dxa"/>
          </w:tcPr>
          <w:p w14:paraId="509E4C91" w14:textId="77777777" w:rsidR="00481C9A" w:rsidRPr="00AB627D" w:rsidRDefault="00481C9A" w:rsidP="00481C9A">
            <w:pPr>
              <w:rPr>
                <w:rFonts w:ascii="Calibri" w:hAnsi="Calibri" w:cs="Calibri"/>
                <w:color w:val="000000" w:themeColor="text1"/>
                <w:lang w:val="en-GB"/>
              </w:rPr>
            </w:pPr>
            <w:r w:rsidRPr="00AB627D">
              <w:rPr>
                <w:rFonts w:ascii="Calibri" w:eastAsia="Calibri" w:hAnsi="Calibri" w:cs="Calibri"/>
                <w:color w:val="000000" w:themeColor="text1"/>
              </w:rPr>
              <w:t xml:space="preserve">Ratify and implement relevant </w:t>
            </w:r>
            <w:r w:rsidRPr="00AB627D">
              <w:rPr>
                <w:rFonts w:ascii="Calibri" w:eastAsia="Calibri" w:hAnsi="Calibri" w:cs="Calibri"/>
                <w:b/>
                <w:color w:val="000000" w:themeColor="text1"/>
              </w:rPr>
              <w:t xml:space="preserve">regional and international instruments </w:t>
            </w:r>
            <w:r w:rsidRPr="00AB627D">
              <w:rPr>
                <w:rFonts w:ascii="Calibri" w:eastAsia="Calibri" w:hAnsi="Calibri" w:cs="Calibri"/>
                <w:color w:val="000000" w:themeColor="text1"/>
              </w:rPr>
              <w:t>related to child’s rights and sexual exploitation of children.</w:t>
            </w:r>
          </w:p>
        </w:tc>
        <w:tc>
          <w:tcPr>
            <w:tcW w:w="1701" w:type="dxa"/>
          </w:tcPr>
          <w:p w14:paraId="63EC3190" w14:textId="77777777" w:rsidR="00481C9A" w:rsidRPr="00AB627D" w:rsidRDefault="00481C9A" w:rsidP="00481C9A">
            <w:pPr>
              <w:rPr>
                <w:rFonts w:ascii="Calibri" w:hAnsi="Calibri" w:cs="Calibri"/>
                <w:color w:val="000000" w:themeColor="text1"/>
                <w:lang w:val="en-GB"/>
              </w:rPr>
            </w:pPr>
            <w:r w:rsidRPr="00AB627D">
              <w:rPr>
                <w:rFonts w:asciiTheme="majorHAnsi" w:hAnsiTheme="majorHAnsi" w:cstheme="majorHAnsi"/>
                <w:b/>
                <w:color w:val="000000" w:themeColor="text1"/>
                <w:lang w:val="en-GB"/>
              </w:rPr>
              <w:t>Partially</w:t>
            </w:r>
          </w:p>
        </w:tc>
        <w:tc>
          <w:tcPr>
            <w:tcW w:w="3969" w:type="dxa"/>
          </w:tcPr>
          <w:p w14:paraId="773647D0" w14:textId="77777777" w:rsidR="00481C9A" w:rsidRPr="00AB627D" w:rsidRDefault="00481C9A" w:rsidP="00481C9A">
            <w:pPr>
              <w:pStyle w:val="ListParagraph"/>
              <w:numPr>
                <w:ilvl w:val="0"/>
                <w:numId w:val="4"/>
              </w:numPr>
              <w:spacing w:line="276" w:lineRule="auto"/>
              <w:ind w:hanging="252"/>
              <w:rPr>
                <w:rFonts w:ascii="Calibri" w:eastAsia="Times New Roman" w:hAnsi="Calibri" w:cs="Calibri"/>
                <w:color w:val="000000" w:themeColor="text1"/>
                <w:lang w:val="en-GB"/>
              </w:rPr>
            </w:pPr>
            <w:r w:rsidRPr="00AB627D">
              <w:rPr>
                <w:rFonts w:ascii="Calibri" w:eastAsia="Times New Roman" w:hAnsi="Calibri" w:cs="Calibri"/>
                <w:color w:val="000000" w:themeColor="text1"/>
                <w:lang w:val="en-GB"/>
              </w:rPr>
              <w:t>Convention on the Rights of the Child (CRC) Ratified in 1992</w:t>
            </w:r>
          </w:p>
          <w:p w14:paraId="786DE2FB" w14:textId="77777777" w:rsidR="00481C9A" w:rsidRPr="00AB627D" w:rsidRDefault="00481C9A" w:rsidP="00481C9A">
            <w:pPr>
              <w:pStyle w:val="ListParagraph"/>
              <w:numPr>
                <w:ilvl w:val="0"/>
                <w:numId w:val="4"/>
              </w:numPr>
              <w:spacing w:line="276" w:lineRule="auto"/>
              <w:ind w:hanging="252"/>
              <w:rPr>
                <w:rFonts w:ascii="Calibri" w:eastAsia="Times New Roman" w:hAnsi="Calibri" w:cs="Calibri"/>
                <w:color w:val="000000" w:themeColor="text1"/>
                <w:lang w:val="en-GB"/>
              </w:rPr>
            </w:pPr>
            <w:r w:rsidRPr="00AB627D">
              <w:rPr>
                <w:rFonts w:ascii="Calibri" w:eastAsia="Times New Roman" w:hAnsi="Calibri" w:cs="Calibri"/>
                <w:color w:val="000000" w:themeColor="text1"/>
                <w:lang w:val="en-GB"/>
              </w:rPr>
              <w:t>Optional Protocol to the CRC on the Sale of Children, Child Prostitution and Child Pornography Ratified in 2005</w:t>
            </w:r>
          </w:p>
          <w:p w14:paraId="2AA9B118" w14:textId="77777777" w:rsidR="00481C9A" w:rsidRPr="00AB627D" w:rsidRDefault="00481C9A" w:rsidP="00481C9A">
            <w:pPr>
              <w:pStyle w:val="ListParagraph"/>
              <w:numPr>
                <w:ilvl w:val="0"/>
                <w:numId w:val="4"/>
              </w:numPr>
              <w:spacing w:line="276" w:lineRule="auto"/>
              <w:ind w:hanging="252"/>
              <w:rPr>
                <w:rFonts w:ascii="Calibri" w:eastAsia="Times New Roman" w:hAnsi="Calibri" w:cs="Calibri"/>
                <w:color w:val="000000" w:themeColor="text1"/>
                <w:lang w:val="en-GB"/>
              </w:rPr>
            </w:pPr>
            <w:r w:rsidRPr="00AB627D">
              <w:rPr>
                <w:rFonts w:ascii="Calibri" w:eastAsia="Times New Roman" w:hAnsi="Calibri" w:cs="Calibri"/>
                <w:color w:val="000000" w:themeColor="text1"/>
                <w:lang w:val="en-GB"/>
              </w:rPr>
              <w:t>Optional Protocol to the CRC on a Communications Procedure (OP3 CRC) Not signed</w:t>
            </w:r>
          </w:p>
          <w:p w14:paraId="4AFBAD93" w14:textId="77777777" w:rsidR="00481C9A" w:rsidRPr="00AB627D" w:rsidRDefault="00481C9A" w:rsidP="00481C9A">
            <w:pPr>
              <w:pStyle w:val="ListParagraph"/>
              <w:numPr>
                <w:ilvl w:val="0"/>
                <w:numId w:val="4"/>
              </w:numPr>
              <w:spacing w:line="276" w:lineRule="auto"/>
              <w:ind w:hanging="252"/>
              <w:rPr>
                <w:rFonts w:ascii="Calibri" w:eastAsia="Times New Roman" w:hAnsi="Calibri" w:cs="Calibri"/>
                <w:color w:val="000000" w:themeColor="text1"/>
                <w:lang w:val="en-GB"/>
              </w:rPr>
            </w:pPr>
            <w:r w:rsidRPr="00AB627D">
              <w:rPr>
                <w:rFonts w:ascii="Calibri" w:eastAsia="Times New Roman" w:hAnsi="Calibri" w:cs="Calibri"/>
                <w:color w:val="000000" w:themeColor="text1"/>
                <w:lang w:val="en-GB"/>
              </w:rPr>
              <w:t>Protocol to Prevent, Suppress and Punish Trafficking in Persons, especially Women and Children Ratified in 2011</w:t>
            </w:r>
          </w:p>
          <w:p w14:paraId="343EC1A9" w14:textId="77777777" w:rsidR="00481C9A" w:rsidRPr="00AB627D" w:rsidRDefault="00481C9A" w:rsidP="00481C9A">
            <w:pPr>
              <w:pStyle w:val="ListParagraph"/>
              <w:numPr>
                <w:ilvl w:val="0"/>
                <w:numId w:val="4"/>
              </w:numPr>
              <w:spacing w:line="276" w:lineRule="auto"/>
              <w:ind w:hanging="252"/>
              <w:rPr>
                <w:rFonts w:ascii="Calibri" w:eastAsia="Times New Roman" w:hAnsi="Calibri" w:cs="Calibri"/>
                <w:color w:val="000000" w:themeColor="text1"/>
                <w:lang w:val="en-GB"/>
              </w:rPr>
            </w:pPr>
            <w:r w:rsidRPr="00AB627D">
              <w:rPr>
                <w:rFonts w:ascii="Calibri" w:eastAsia="Times New Roman" w:hAnsi="Calibri" w:cs="Calibri"/>
                <w:color w:val="000000" w:themeColor="text1"/>
                <w:lang w:val="en-GB"/>
              </w:rPr>
              <w:t>ILO Convention concerning the Prohibition and Immediate Action for the Elimination of the Worst Forms of Child Labour No.182 Ratified in 2017</w:t>
            </w:r>
          </w:p>
          <w:p w14:paraId="66984164" w14:textId="77777777" w:rsidR="00481C9A" w:rsidRPr="00AB627D" w:rsidRDefault="00481C9A" w:rsidP="00481C9A">
            <w:pPr>
              <w:pStyle w:val="ListParagraph"/>
              <w:numPr>
                <w:ilvl w:val="0"/>
                <w:numId w:val="4"/>
              </w:numPr>
              <w:spacing w:line="276" w:lineRule="auto"/>
              <w:ind w:hanging="252"/>
              <w:rPr>
                <w:rFonts w:ascii="Calibri" w:eastAsia="Times New Roman" w:hAnsi="Calibri" w:cs="Calibri"/>
                <w:color w:val="000000" w:themeColor="text1"/>
                <w:lang w:val="en-GB"/>
              </w:rPr>
            </w:pPr>
            <w:r w:rsidRPr="00AB627D">
              <w:rPr>
                <w:rFonts w:ascii="Calibri" w:eastAsia="Times New Roman" w:hAnsi="Calibri" w:cs="Calibri"/>
                <w:color w:val="000000" w:themeColor="text1"/>
                <w:lang w:val="en-GB"/>
              </w:rPr>
              <w:t>UNWTO Convention on Tourism Ethics Not signed</w:t>
            </w:r>
          </w:p>
          <w:p w14:paraId="7A1180BA" w14:textId="77777777" w:rsidR="00481C9A" w:rsidRPr="00AB627D" w:rsidRDefault="00481C9A" w:rsidP="00481C9A">
            <w:pPr>
              <w:pStyle w:val="ListParagraph"/>
              <w:numPr>
                <w:ilvl w:val="0"/>
                <w:numId w:val="4"/>
              </w:numPr>
              <w:spacing w:line="276" w:lineRule="auto"/>
              <w:ind w:hanging="252"/>
              <w:rPr>
                <w:rFonts w:ascii="Calibri" w:eastAsia="Times New Roman" w:hAnsi="Calibri" w:cs="Calibri"/>
                <w:color w:val="000000" w:themeColor="text1"/>
                <w:lang w:val="en-GB"/>
              </w:rPr>
            </w:pPr>
            <w:r w:rsidRPr="00AB627D">
              <w:rPr>
                <w:rFonts w:ascii="Calibri" w:hAnsi="Calibri" w:cs="Calibri"/>
                <w:color w:val="000000" w:themeColor="text1"/>
              </w:rPr>
              <w:t xml:space="preserve">SAARC Convention on Preventing and Combating Trafficking in Women and Children </w:t>
            </w:r>
            <w:r w:rsidRPr="00AB627D">
              <w:rPr>
                <w:rFonts w:ascii="Calibri" w:eastAsia="Times New Roman" w:hAnsi="Calibri" w:cs="Calibri"/>
                <w:color w:val="000000" w:themeColor="text1"/>
                <w:lang w:val="en-GB"/>
              </w:rPr>
              <w:t>Ratified in 2002</w:t>
            </w:r>
          </w:p>
          <w:p w14:paraId="0C8452E3" w14:textId="77777777" w:rsidR="00481C9A" w:rsidRPr="00AB627D" w:rsidRDefault="00481C9A" w:rsidP="00481C9A">
            <w:pPr>
              <w:pStyle w:val="ListParagraph"/>
              <w:numPr>
                <w:ilvl w:val="0"/>
                <w:numId w:val="4"/>
              </w:numPr>
              <w:spacing w:line="276" w:lineRule="auto"/>
              <w:ind w:hanging="252"/>
              <w:rPr>
                <w:rFonts w:ascii="Calibri" w:eastAsia="Times New Roman" w:hAnsi="Calibri" w:cs="Calibri"/>
                <w:color w:val="000000" w:themeColor="text1"/>
                <w:lang w:val="en-GB"/>
              </w:rPr>
            </w:pPr>
            <w:r w:rsidRPr="00AB627D">
              <w:rPr>
                <w:rFonts w:ascii="Calibri" w:hAnsi="Calibri" w:cs="Calibri"/>
                <w:color w:val="000000" w:themeColor="text1"/>
              </w:rPr>
              <w:t xml:space="preserve">SAARC Convention on Regional Arrangements for the Promotion of Child Welfare in South Asia </w:t>
            </w:r>
            <w:r w:rsidRPr="00AB627D">
              <w:rPr>
                <w:rFonts w:ascii="Calibri" w:eastAsia="Times New Roman" w:hAnsi="Calibri" w:cs="Calibri"/>
                <w:color w:val="000000" w:themeColor="text1"/>
                <w:lang w:val="en-GB"/>
              </w:rPr>
              <w:t>Ratified in 2002</w:t>
            </w:r>
          </w:p>
        </w:tc>
      </w:tr>
      <w:tr w:rsidR="00481C9A" w:rsidRPr="00436380" w14:paraId="1D9E1EC3" w14:textId="77777777" w:rsidTr="00481C9A">
        <w:trPr>
          <w:trHeight w:val="1280"/>
        </w:trPr>
        <w:tc>
          <w:tcPr>
            <w:tcW w:w="846" w:type="dxa"/>
          </w:tcPr>
          <w:p w14:paraId="1FE6A803" w14:textId="77777777" w:rsidR="00481C9A" w:rsidRPr="00AB627D" w:rsidRDefault="00481C9A" w:rsidP="00481C9A">
            <w:pPr>
              <w:pStyle w:val="ListParagraph"/>
              <w:numPr>
                <w:ilvl w:val="0"/>
                <w:numId w:val="1"/>
              </w:numPr>
              <w:rPr>
                <w:rFonts w:ascii="Calibri" w:hAnsi="Calibri" w:cs="Calibri"/>
                <w:color w:val="000000" w:themeColor="text1"/>
                <w:lang w:val="en-GB"/>
              </w:rPr>
            </w:pPr>
          </w:p>
        </w:tc>
        <w:tc>
          <w:tcPr>
            <w:tcW w:w="2977" w:type="dxa"/>
          </w:tcPr>
          <w:p w14:paraId="6EC8517B" w14:textId="77777777" w:rsidR="00481C9A" w:rsidRPr="00AB627D" w:rsidRDefault="00481C9A" w:rsidP="00481C9A">
            <w:pPr>
              <w:rPr>
                <w:rFonts w:ascii="Calibri" w:hAnsi="Calibri" w:cs="Calibri"/>
                <w:color w:val="000000" w:themeColor="text1"/>
                <w:lang w:val="en-GB"/>
              </w:rPr>
            </w:pPr>
            <w:r w:rsidRPr="00AB627D">
              <w:rPr>
                <w:rFonts w:ascii="Calibri" w:eastAsia="Calibri" w:hAnsi="Calibri" w:cs="Calibri"/>
                <w:color w:val="000000" w:themeColor="text1"/>
              </w:rPr>
              <w:t xml:space="preserve">Establish </w:t>
            </w:r>
            <w:r w:rsidRPr="00AB627D">
              <w:rPr>
                <w:rFonts w:ascii="Calibri" w:eastAsia="Calibri" w:hAnsi="Calibri" w:cs="Calibri"/>
                <w:b/>
                <w:color w:val="000000" w:themeColor="text1"/>
              </w:rPr>
              <w:t>protection measures</w:t>
            </w:r>
            <w:r w:rsidRPr="00AB627D">
              <w:rPr>
                <w:rFonts w:ascii="Calibri" w:eastAsia="Calibri" w:hAnsi="Calibri" w:cs="Calibri"/>
                <w:color w:val="000000" w:themeColor="text1"/>
              </w:rPr>
              <w:t xml:space="preserve"> for child victims at any stage of the legal process against the suspected offender.</w:t>
            </w:r>
          </w:p>
        </w:tc>
        <w:tc>
          <w:tcPr>
            <w:tcW w:w="1701" w:type="dxa"/>
          </w:tcPr>
          <w:p w14:paraId="15EAC616" w14:textId="77777777" w:rsidR="00481C9A" w:rsidRPr="00AB627D" w:rsidRDefault="00481C9A" w:rsidP="00481C9A">
            <w:pPr>
              <w:rPr>
                <w:rFonts w:ascii="Calibri" w:hAnsi="Calibri" w:cs="Calibri"/>
                <w:color w:val="000000" w:themeColor="text1"/>
              </w:rPr>
            </w:pPr>
            <w:r w:rsidRPr="00AB627D">
              <w:rPr>
                <w:rFonts w:asciiTheme="majorHAnsi" w:hAnsiTheme="majorHAnsi" w:cstheme="majorHAnsi"/>
                <w:b/>
                <w:color w:val="000000" w:themeColor="text1"/>
                <w:lang w:val="en-GB"/>
              </w:rPr>
              <w:t>Yes</w:t>
            </w:r>
          </w:p>
        </w:tc>
        <w:tc>
          <w:tcPr>
            <w:tcW w:w="3969" w:type="dxa"/>
          </w:tcPr>
          <w:p w14:paraId="6ABDEAC5" w14:textId="77777777" w:rsidR="00481C9A" w:rsidRPr="00AB627D" w:rsidRDefault="00481C9A" w:rsidP="00481C9A">
            <w:pPr>
              <w:rPr>
                <w:rFonts w:ascii="Calibri" w:hAnsi="Calibri" w:cs="Calibri"/>
                <w:color w:val="000000" w:themeColor="text1"/>
                <w:shd w:val="clear" w:color="auto" w:fill="FFFFFF"/>
              </w:rPr>
            </w:pPr>
            <w:r w:rsidRPr="00AB627D">
              <w:rPr>
                <w:rFonts w:ascii="Calibri" w:hAnsi="Calibri" w:cs="Calibri"/>
                <w:color w:val="000000" w:themeColor="text1"/>
                <w:shd w:val="clear" w:color="auto" w:fill="FFFFFF"/>
              </w:rPr>
              <w:t xml:space="preserve">Section 24(3) of POCSO Act, the police officer making the investigation, shall, while examining the child, ensure that at no point of time the child come in the contact in any way with the accused. Similarly, Section 36 of the Act provides that the child victim should not see the accused at the time of testifying. </w:t>
            </w:r>
          </w:p>
          <w:p w14:paraId="12E46AED" w14:textId="77777777" w:rsidR="00481C9A" w:rsidRPr="00AB627D" w:rsidRDefault="00481C9A" w:rsidP="00481C9A">
            <w:pPr>
              <w:rPr>
                <w:rFonts w:ascii="Calibri" w:hAnsi="Calibri" w:cs="Calibri"/>
                <w:color w:val="000000" w:themeColor="text1"/>
                <w:shd w:val="clear" w:color="auto" w:fill="FFFFFF"/>
              </w:rPr>
            </w:pPr>
            <w:r w:rsidRPr="00AB627D">
              <w:rPr>
                <w:rFonts w:ascii="Calibri" w:hAnsi="Calibri" w:cs="Calibri"/>
                <w:color w:val="000000" w:themeColor="text1"/>
                <w:shd w:val="clear" w:color="auto" w:fill="FFFFFF"/>
              </w:rPr>
              <w:t xml:space="preserve">Furthermore, Rule 4(9) of the POCSO Rules 2020 entrusts support persons with the duty to inform the child of the role they may play in the judicial process and ensure that any concerns that the child may have, regarding child's safety in relation to the accused and the manner in which the support persons would like to provide child's testimony, are conveyed to the relevant authorities. </w:t>
            </w:r>
          </w:p>
          <w:p w14:paraId="5FE6B407" w14:textId="77777777" w:rsidR="00481C9A" w:rsidRPr="00AB627D" w:rsidRDefault="00481C9A" w:rsidP="00481C9A">
            <w:pPr>
              <w:rPr>
                <w:rFonts w:ascii="Calibri" w:eastAsia="Times New Roman" w:hAnsi="Calibri" w:cs="Calibri"/>
                <w:color w:val="000000" w:themeColor="text1"/>
                <w:lang w:val="en-GB"/>
              </w:rPr>
            </w:pPr>
            <w:r w:rsidRPr="00AB627D">
              <w:rPr>
                <w:rFonts w:ascii="Calibri" w:hAnsi="Calibri" w:cs="Calibri"/>
                <w:color w:val="000000" w:themeColor="text1"/>
                <w:shd w:val="clear" w:color="auto" w:fill="FFFFFF"/>
              </w:rPr>
              <w:t>ITPA allows</w:t>
            </w:r>
            <w:r w:rsidRPr="00AB627D">
              <w:rPr>
                <w:rFonts w:ascii="Calibri" w:hAnsi="Calibri" w:cs="Calibri"/>
                <w:color w:val="000000" w:themeColor="text1"/>
              </w:rPr>
              <w:t xml:space="preserve"> the magistrate to place a rescued child victim of trafficking in any institution established or </w:t>
            </w:r>
            <w:proofErr w:type="spellStart"/>
            <w:r w:rsidRPr="00AB627D">
              <w:rPr>
                <w:rFonts w:ascii="Calibri" w:hAnsi="Calibri" w:cs="Calibri"/>
                <w:color w:val="000000" w:themeColor="text1"/>
              </w:rPr>
              <w:t>recognised</w:t>
            </w:r>
            <w:proofErr w:type="spellEnd"/>
            <w:r w:rsidRPr="00AB627D">
              <w:rPr>
                <w:rFonts w:ascii="Calibri" w:hAnsi="Calibri" w:cs="Calibri"/>
                <w:color w:val="000000" w:themeColor="text1"/>
              </w:rPr>
              <w:t xml:space="preserve"> under any Children Act, for the time being in force in any State for the safe custody of children. (Section 17)</w:t>
            </w:r>
          </w:p>
          <w:p w14:paraId="309557A5" w14:textId="77777777" w:rsidR="00481C9A" w:rsidRPr="00AB627D" w:rsidRDefault="00481C9A" w:rsidP="00481C9A">
            <w:pPr>
              <w:rPr>
                <w:rFonts w:ascii="Calibri" w:hAnsi="Calibri" w:cs="Calibri"/>
                <w:color w:val="000000" w:themeColor="text1"/>
              </w:rPr>
            </w:pPr>
            <w:r w:rsidRPr="00AB627D">
              <w:rPr>
                <w:rFonts w:ascii="Calibri" w:hAnsi="Calibri" w:cs="Calibri"/>
                <w:color w:val="000000" w:themeColor="text1"/>
              </w:rPr>
              <w:t>The law does not make explicit difference between national and non-national child victims, but it does not even clearly state if relevant provisions would be applied to non-nationals.</w:t>
            </w:r>
          </w:p>
          <w:p w14:paraId="6C502C61" w14:textId="77777777" w:rsidR="00481C9A" w:rsidRPr="00AB627D" w:rsidRDefault="00481C9A" w:rsidP="00481C9A">
            <w:pPr>
              <w:rPr>
                <w:rFonts w:ascii="Calibri" w:hAnsi="Calibri" w:cs="Calibri"/>
                <w:color w:val="000000" w:themeColor="text1"/>
                <w:lang w:val="en-GB"/>
              </w:rPr>
            </w:pPr>
            <w:r w:rsidRPr="00AB627D">
              <w:rPr>
                <w:rFonts w:ascii="Calibri" w:hAnsi="Calibri" w:cs="Calibri"/>
                <w:color w:val="000000" w:themeColor="text1"/>
                <w:lang w:val="en-GB"/>
              </w:rPr>
              <w:t xml:space="preserve">Pursuant to Section 40 of POCSO Act, a child victim has right to take assistance of a legal practitioner of his/her choice and free legal aid, if he/she is unable to afford the legal services.  A similar provision is found Rule 7 of POCSO Rules, 2020. </w:t>
            </w:r>
          </w:p>
          <w:p w14:paraId="5AC38477" w14:textId="77777777" w:rsidR="00481C9A" w:rsidRPr="00AB627D" w:rsidRDefault="00481C9A" w:rsidP="00481C9A">
            <w:pPr>
              <w:rPr>
                <w:rFonts w:ascii="Calibri" w:hAnsi="Calibri" w:cs="Calibri"/>
                <w:color w:val="000000" w:themeColor="text1"/>
                <w:shd w:val="clear" w:color="auto" w:fill="FFFFFF"/>
              </w:rPr>
            </w:pPr>
            <w:r w:rsidRPr="00AB627D">
              <w:rPr>
                <w:rFonts w:ascii="Calibri" w:hAnsi="Calibri" w:cs="Calibri"/>
                <w:color w:val="000000" w:themeColor="text1"/>
                <w:lang w:val="en-GB"/>
              </w:rPr>
              <w:t xml:space="preserve">Under Rule 4 of the POCSO Rules, it is the duty of the Special Juvenile Police Unit (SJPU) or the local police to inform the child victim and his parents/guardians/support person about the availability of </w:t>
            </w:r>
            <w:r w:rsidRPr="00AB627D">
              <w:rPr>
                <w:rFonts w:ascii="Calibri" w:hAnsi="Calibri" w:cs="Calibri"/>
                <w:color w:val="000000" w:themeColor="text1"/>
                <w:shd w:val="clear" w:color="auto" w:fill="FFFFFF"/>
              </w:rPr>
              <w:t xml:space="preserve">  support services including counselling, and assist them in contacting the persons who are responsible for providing these services and relief.</w:t>
            </w:r>
          </w:p>
          <w:p w14:paraId="19BDB38E" w14:textId="77777777" w:rsidR="00481C9A" w:rsidRPr="00AB627D" w:rsidRDefault="00481C9A" w:rsidP="00481C9A">
            <w:pPr>
              <w:rPr>
                <w:rFonts w:ascii="Calibri" w:hAnsi="Calibri" w:cs="Calibri"/>
                <w:color w:val="000000" w:themeColor="text1"/>
                <w:lang w:val="en-GB"/>
              </w:rPr>
            </w:pPr>
            <w:r w:rsidRPr="00AB627D">
              <w:rPr>
                <w:rFonts w:ascii="Calibri" w:hAnsi="Calibri" w:cs="Calibri"/>
                <w:color w:val="000000" w:themeColor="text1"/>
                <w:lang w:val="en-GB"/>
              </w:rPr>
              <w:t xml:space="preserve">Section 23 of the POCSO Act lays down the procedure for media. It prohibits media from disclosing the identity of the child victim. </w:t>
            </w:r>
          </w:p>
        </w:tc>
      </w:tr>
      <w:tr w:rsidR="00481C9A" w:rsidRPr="00436380" w14:paraId="6EFCFE44" w14:textId="77777777" w:rsidTr="00481C9A">
        <w:trPr>
          <w:trHeight w:val="576"/>
        </w:trPr>
        <w:tc>
          <w:tcPr>
            <w:tcW w:w="846" w:type="dxa"/>
          </w:tcPr>
          <w:p w14:paraId="560EDFF4" w14:textId="77777777" w:rsidR="00481C9A" w:rsidRPr="00AB627D" w:rsidRDefault="00481C9A" w:rsidP="00481C9A">
            <w:pPr>
              <w:pStyle w:val="ListParagraph"/>
              <w:numPr>
                <w:ilvl w:val="0"/>
                <w:numId w:val="1"/>
              </w:numPr>
              <w:rPr>
                <w:rFonts w:ascii="Calibri" w:hAnsi="Calibri" w:cs="Calibri"/>
                <w:color w:val="000000" w:themeColor="text1"/>
                <w:lang w:val="en-GB"/>
              </w:rPr>
            </w:pPr>
          </w:p>
        </w:tc>
        <w:tc>
          <w:tcPr>
            <w:tcW w:w="2977" w:type="dxa"/>
          </w:tcPr>
          <w:p w14:paraId="13B26790" w14:textId="77777777" w:rsidR="00481C9A" w:rsidRPr="00AB627D" w:rsidRDefault="00481C9A" w:rsidP="00481C9A">
            <w:pPr>
              <w:rPr>
                <w:rFonts w:ascii="Calibri" w:hAnsi="Calibri" w:cs="Calibri"/>
                <w:color w:val="000000" w:themeColor="text1"/>
                <w:lang w:val="en-GB"/>
              </w:rPr>
            </w:pPr>
            <w:r w:rsidRPr="00AB627D">
              <w:rPr>
                <w:rFonts w:asciiTheme="majorHAnsi" w:hAnsiTheme="majorHAnsi" w:cstheme="majorHAnsi"/>
                <w:color w:val="000000" w:themeColor="text1"/>
              </w:rPr>
              <w:t xml:space="preserve">Establish </w:t>
            </w:r>
            <w:r w:rsidRPr="00AB627D">
              <w:rPr>
                <w:rFonts w:asciiTheme="majorHAnsi" w:hAnsiTheme="majorHAnsi" w:cstheme="majorHAnsi"/>
                <w:b/>
                <w:bCs/>
                <w:color w:val="000000" w:themeColor="text1"/>
              </w:rPr>
              <w:t>child-friendly interviewing practices by professionally trained police.</w:t>
            </w:r>
          </w:p>
        </w:tc>
        <w:tc>
          <w:tcPr>
            <w:tcW w:w="1701" w:type="dxa"/>
          </w:tcPr>
          <w:p w14:paraId="3E3BC393" w14:textId="77777777" w:rsidR="00481C9A" w:rsidRPr="00AB627D" w:rsidRDefault="00481C9A" w:rsidP="00481C9A">
            <w:pPr>
              <w:rPr>
                <w:rFonts w:ascii="Calibri" w:hAnsi="Calibri" w:cs="Calibri"/>
                <w:color w:val="000000" w:themeColor="text1"/>
                <w:lang w:val="en-GB"/>
              </w:rPr>
            </w:pPr>
            <w:r w:rsidRPr="00AB627D">
              <w:rPr>
                <w:rFonts w:asciiTheme="majorHAnsi" w:hAnsiTheme="majorHAnsi" w:cstheme="majorHAnsi"/>
                <w:b/>
                <w:color w:val="000000" w:themeColor="text1"/>
                <w:lang w:val="en-GB"/>
              </w:rPr>
              <w:t>Yes</w:t>
            </w:r>
          </w:p>
        </w:tc>
        <w:tc>
          <w:tcPr>
            <w:tcW w:w="3969" w:type="dxa"/>
          </w:tcPr>
          <w:p w14:paraId="15CAA417" w14:textId="77777777" w:rsidR="00481C9A" w:rsidRPr="00AB627D" w:rsidRDefault="00481C9A" w:rsidP="00481C9A">
            <w:pPr>
              <w:rPr>
                <w:rFonts w:ascii="Calibri" w:hAnsi="Calibri" w:cs="Calibri"/>
                <w:color w:val="000000" w:themeColor="text1"/>
                <w:lang w:val="en-GB"/>
              </w:rPr>
            </w:pPr>
            <w:r w:rsidRPr="00AB627D">
              <w:rPr>
                <w:rFonts w:ascii="Calibri" w:hAnsi="Calibri" w:cs="Calibri"/>
                <w:color w:val="000000" w:themeColor="text1"/>
                <w:lang w:val="en-GB"/>
              </w:rPr>
              <w:t>Section 37 provides that trial in special courts established under the POCSO Act should be conducted in camera. Further, a child should be provided with expert or interpreter while recoding evidence. (</w:t>
            </w:r>
            <w:proofErr w:type="gramStart"/>
            <w:r w:rsidRPr="00AB627D">
              <w:rPr>
                <w:rFonts w:ascii="Calibri" w:hAnsi="Calibri" w:cs="Calibri"/>
                <w:color w:val="000000" w:themeColor="text1"/>
                <w:lang w:val="en-GB"/>
              </w:rPr>
              <w:t>also</w:t>
            </w:r>
            <w:proofErr w:type="gramEnd"/>
            <w:r w:rsidRPr="00AB627D">
              <w:rPr>
                <w:rFonts w:ascii="Calibri" w:hAnsi="Calibri" w:cs="Calibri"/>
                <w:color w:val="000000" w:themeColor="text1"/>
                <w:lang w:val="en-GB"/>
              </w:rPr>
              <w:t xml:space="preserve"> under Rule 5 of POCSO Rules, 2020)</w:t>
            </w:r>
          </w:p>
          <w:p w14:paraId="1A05B6FD" w14:textId="77777777" w:rsidR="00481C9A" w:rsidRPr="00AB627D" w:rsidRDefault="00481C9A" w:rsidP="00481C9A">
            <w:pPr>
              <w:rPr>
                <w:rFonts w:ascii="Calibri" w:hAnsi="Calibri" w:cs="Calibri"/>
                <w:color w:val="000000" w:themeColor="text1"/>
                <w:shd w:val="clear" w:color="auto" w:fill="FFFFFF"/>
                <w:lang w:val="en-GB"/>
              </w:rPr>
            </w:pPr>
          </w:p>
          <w:p w14:paraId="6849B6F7" w14:textId="77777777" w:rsidR="00481C9A" w:rsidRPr="00AB627D" w:rsidRDefault="00481C9A" w:rsidP="00481C9A">
            <w:pPr>
              <w:rPr>
                <w:rFonts w:ascii="Calibri" w:hAnsi="Calibri" w:cs="Calibri"/>
                <w:color w:val="000000" w:themeColor="text1"/>
                <w:lang w:val="en-GB"/>
              </w:rPr>
            </w:pPr>
            <w:r w:rsidRPr="00AB627D">
              <w:rPr>
                <w:rFonts w:ascii="Calibri" w:hAnsi="Calibri" w:cs="Calibri"/>
                <w:color w:val="000000" w:themeColor="text1"/>
              </w:rPr>
              <w:t>The law does not make explicit difference between national and non-national child victims, but it does not even clearly state if relevant provisions would be applied to non-nationals.</w:t>
            </w:r>
          </w:p>
        </w:tc>
      </w:tr>
      <w:tr w:rsidR="00481C9A" w:rsidRPr="00436380" w14:paraId="79413E00" w14:textId="77777777" w:rsidTr="00481C9A">
        <w:trPr>
          <w:trHeight w:val="576"/>
        </w:trPr>
        <w:tc>
          <w:tcPr>
            <w:tcW w:w="846" w:type="dxa"/>
          </w:tcPr>
          <w:p w14:paraId="7AB35D0D" w14:textId="77777777" w:rsidR="00481C9A" w:rsidRPr="00AB627D" w:rsidRDefault="00481C9A" w:rsidP="00481C9A">
            <w:pPr>
              <w:pStyle w:val="ListParagraph"/>
              <w:numPr>
                <w:ilvl w:val="0"/>
                <w:numId w:val="1"/>
              </w:numPr>
              <w:rPr>
                <w:rFonts w:ascii="Calibri" w:hAnsi="Calibri" w:cs="Calibri"/>
                <w:color w:val="000000" w:themeColor="text1"/>
                <w:lang w:val="en-GB"/>
              </w:rPr>
            </w:pPr>
          </w:p>
        </w:tc>
        <w:tc>
          <w:tcPr>
            <w:tcW w:w="2977" w:type="dxa"/>
          </w:tcPr>
          <w:p w14:paraId="4E05C0B8" w14:textId="77777777" w:rsidR="00481C9A" w:rsidRPr="00AB627D" w:rsidRDefault="00481C9A" w:rsidP="00481C9A">
            <w:pPr>
              <w:rPr>
                <w:rFonts w:ascii="Calibri" w:hAnsi="Calibri" w:cs="Calibri"/>
                <w:color w:val="000000" w:themeColor="text1"/>
                <w:lang w:val="en-GB"/>
              </w:rPr>
            </w:pPr>
            <w:r w:rsidRPr="00AB627D">
              <w:rPr>
                <w:rFonts w:ascii="Calibri" w:eastAsia="Calibri" w:hAnsi="Calibri" w:cs="Calibri"/>
                <w:color w:val="000000" w:themeColor="text1"/>
              </w:rPr>
              <w:t xml:space="preserve">Ensure that child victims fully enjoy their </w:t>
            </w:r>
            <w:r w:rsidRPr="00AB627D">
              <w:rPr>
                <w:rFonts w:ascii="Calibri" w:eastAsia="Calibri" w:hAnsi="Calibri" w:cs="Calibri"/>
                <w:b/>
                <w:color w:val="000000" w:themeColor="text1"/>
              </w:rPr>
              <w:t>right to recovery and rehabilitation</w:t>
            </w:r>
            <w:r w:rsidRPr="00AB627D">
              <w:rPr>
                <w:rFonts w:ascii="Calibri" w:eastAsia="Calibri" w:hAnsi="Calibri" w:cs="Calibri"/>
                <w:color w:val="000000" w:themeColor="text1"/>
              </w:rPr>
              <w:t>, including by providing tailored support and re-integration services</w:t>
            </w:r>
          </w:p>
        </w:tc>
        <w:tc>
          <w:tcPr>
            <w:tcW w:w="1701" w:type="dxa"/>
          </w:tcPr>
          <w:p w14:paraId="4DBF3C91" w14:textId="77777777" w:rsidR="00481C9A" w:rsidRPr="00AB627D" w:rsidRDefault="00481C9A" w:rsidP="00481C9A">
            <w:pPr>
              <w:rPr>
                <w:rFonts w:ascii="Calibri" w:hAnsi="Calibri" w:cs="Calibri"/>
                <w:color w:val="000000" w:themeColor="text1"/>
              </w:rPr>
            </w:pPr>
            <w:r w:rsidRPr="00AB627D">
              <w:rPr>
                <w:rFonts w:asciiTheme="majorHAnsi" w:hAnsiTheme="majorHAnsi" w:cstheme="majorHAnsi"/>
                <w:b/>
                <w:color w:val="000000" w:themeColor="text1"/>
                <w:lang w:val="en-GB"/>
              </w:rPr>
              <w:t>Yes</w:t>
            </w:r>
          </w:p>
        </w:tc>
        <w:tc>
          <w:tcPr>
            <w:tcW w:w="3969" w:type="dxa"/>
          </w:tcPr>
          <w:p w14:paraId="3C836BD4" w14:textId="77777777" w:rsidR="00481C9A" w:rsidRPr="00AB627D" w:rsidRDefault="00481C9A" w:rsidP="00481C9A">
            <w:pPr>
              <w:rPr>
                <w:rFonts w:ascii="Calibri" w:hAnsi="Calibri" w:cs="Calibri"/>
                <w:color w:val="000000" w:themeColor="text1"/>
              </w:rPr>
            </w:pPr>
            <w:r w:rsidRPr="00AB627D">
              <w:rPr>
                <w:rFonts w:ascii="Calibri" w:hAnsi="Calibri" w:cs="Calibri"/>
                <w:color w:val="000000" w:themeColor="text1"/>
              </w:rPr>
              <w:t xml:space="preserve">The Juvenile Justice (Care and Protection) Act, 2015 provides, among other things, “(ii) procedures and decisions or orders relating to rehabilitation, adoption, re-integration, and restoration of children in need of care and protection”. Child victims of trafficking and other forms of sexual exploitation come within the meaning of “child in need of care and protection” under Section 2(14) of the Juvenile Justice (Care and Protection) Act, 2015. [see also </w:t>
            </w:r>
            <w:hyperlink r:id="rId14" w:history="1">
              <w:r w:rsidRPr="00AB627D">
                <w:rPr>
                  <w:rStyle w:val="Hyperlink"/>
                  <w:rFonts w:ascii="Calibri" w:hAnsi="Calibri" w:cs="Calibri"/>
                  <w:color w:val="000000" w:themeColor="text1"/>
                </w:rPr>
                <w:t>Exploitation of children in the orphanages in the State of Tamil Nadu v. Union of India</w:t>
              </w:r>
            </w:hyperlink>
            <w:r w:rsidRPr="00AB627D">
              <w:rPr>
                <w:rFonts w:ascii="Calibri" w:hAnsi="Calibri" w:cs="Calibri"/>
                <w:color w:val="000000" w:themeColor="text1"/>
              </w:rPr>
              <w:t xml:space="preserve">, 2017] Therefore, they are entitled to receive care and protection as per the provisions of the Juvenile Justice (Care and Protection) Act. </w:t>
            </w:r>
          </w:p>
          <w:p w14:paraId="18CC8619" w14:textId="77777777" w:rsidR="00481C9A" w:rsidRPr="00AB627D" w:rsidRDefault="00481C9A" w:rsidP="00481C9A">
            <w:pPr>
              <w:rPr>
                <w:rFonts w:ascii="Calibri" w:hAnsi="Calibri" w:cs="Calibri"/>
                <w:color w:val="000000" w:themeColor="text1"/>
              </w:rPr>
            </w:pPr>
            <w:r w:rsidRPr="00AB627D">
              <w:rPr>
                <w:rFonts w:ascii="Calibri" w:hAnsi="Calibri" w:cs="Calibri"/>
                <w:color w:val="000000" w:themeColor="text1"/>
              </w:rPr>
              <w:t xml:space="preserve">Accordingly, Section 29(1) of this Act makes it the duty of the Child Welfare Committee “to dispose of cases for the care, protection, treatment, development and rehabilitation of children in need of care and protection, as well as to provide for their basic needs and protection”. </w:t>
            </w:r>
            <w:r w:rsidRPr="00AB627D">
              <w:rPr>
                <w:color w:val="000000" w:themeColor="text1"/>
              </w:rPr>
              <w:t xml:space="preserve"> </w:t>
            </w:r>
            <w:r w:rsidRPr="00AB627D">
              <w:rPr>
                <w:rFonts w:ascii="Calibri" w:hAnsi="Calibri" w:cs="Calibri"/>
                <w:color w:val="000000" w:themeColor="text1"/>
              </w:rPr>
              <w:t>In addition, pursuant to Section 30, the Committee must ensure “care, protection, appropriate rehabilitation or restoration of children in need of care and protection, based on the child’s individual care plan and passing necessary directions to parents or guardians or fit persons or children’s homes or fit facility in this regard”.</w:t>
            </w:r>
            <w:r w:rsidRPr="00AB627D">
              <w:rPr>
                <w:color w:val="000000" w:themeColor="text1"/>
              </w:rPr>
              <w:t xml:space="preserve"> </w:t>
            </w:r>
            <w:r w:rsidRPr="00AB627D">
              <w:rPr>
                <w:rFonts w:ascii="Calibri" w:hAnsi="Calibri" w:cs="Calibri"/>
                <w:color w:val="000000" w:themeColor="text1"/>
              </w:rPr>
              <w:t xml:space="preserve">More specifically, the Committee is responsible for taking action for rehabilitation of sexually abused children who are reported as children in need of care and protection to the Committee by the police under the POCSO Act, 2012. </w:t>
            </w:r>
          </w:p>
        </w:tc>
      </w:tr>
      <w:tr w:rsidR="00481C9A" w:rsidRPr="00436380" w14:paraId="21F70E11" w14:textId="77777777" w:rsidTr="00481C9A">
        <w:trPr>
          <w:trHeight w:val="576"/>
        </w:trPr>
        <w:tc>
          <w:tcPr>
            <w:tcW w:w="846" w:type="dxa"/>
          </w:tcPr>
          <w:p w14:paraId="56F48CCC" w14:textId="77777777" w:rsidR="00481C9A" w:rsidRPr="00AB627D" w:rsidRDefault="00481C9A" w:rsidP="00481C9A">
            <w:pPr>
              <w:pStyle w:val="ListParagraph"/>
              <w:numPr>
                <w:ilvl w:val="0"/>
                <w:numId w:val="1"/>
              </w:numPr>
              <w:rPr>
                <w:rFonts w:ascii="Calibri" w:hAnsi="Calibri" w:cs="Calibri"/>
                <w:color w:val="000000" w:themeColor="text1"/>
                <w:lang w:val="en-GB"/>
              </w:rPr>
            </w:pPr>
          </w:p>
        </w:tc>
        <w:tc>
          <w:tcPr>
            <w:tcW w:w="2977" w:type="dxa"/>
          </w:tcPr>
          <w:p w14:paraId="7ECA3F41" w14:textId="77777777" w:rsidR="00481C9A" w:rsidRPr="00AB627D" w:rsidRDefault="00481C9A" w:rsidP="00481C9A">
            <w:pPr>
              <w:rPr>
                <w:rFonts w:ascii="Calibri" w:hAnsi="Calibri" w:cs="Calibri"/>
                <w:color w:val="000000" w:themeColor="text1"/>
              </w:rPr>
            </w:pPr>
            <w:r w:rsidRPr="00AB627D">
              <w:rPr>
                <w:rFonts w:ascii="Calibri" w:eastAsia="Calibri" w:hAnsi="Calibri" w:cs="Calibri"/>
                <w:color w:val="000000" w:themeColor="text1"/>
              </w:rPr>
              <w:t xml:space="preserve">Establish a </w:t>
            </w:r>
            <w:r w:rsidRPr="00AB627D">
              <w:rPr>
                <w:rFonts w:ascii="Calibri" w:eastAsia="Calibri" w:hAnsi="Calibri" w:cs="Calibri"/>
                <w:b/>
                <w:color w:val="000000" w:themeColor="text1"/>
              </w:rPr>
              <w:t>national reporting mechanism (e.g. hotline)</w:t>
            </w:r>
            <w:r w:rsidRPr="00AB627D">
              <w:rPr>
                <w:rFonts w:ascii="Calibri" w:eastAsia="Calibri" w:hAnsi="Calibri" w:cs="Calibri"/>
                <w:color w:val="000000" w:themeColor="text1"/>
              </w:rPr>
              <w:t xml:space="preserve"> that coordinates access to </w:t>
            </w:r>
            <w:proofErr w:type="gramStart"/>
            <w:r w:rsidRPr="00AB627D">
              <w:rPr>
                <w:rFonts w:ascii="Calibri" w:eastAsia="Calibri" w:hAnsi="Calibri" w:cs="Calibri"/>
                <w:color w:val="000000" w:themeColor="text1"/>
              </w:rPr>
              <w:t>services, and</w:t>
            </w:r>
            <w:proofErr w:type="gramEnd"/>
            <w:r w:rsidRPr="00AB627D">
              <w:rPr>
                <w:rFonts w:ascii="Calibri" w:eastAsia="Calibri" w:hAnsi="Calibri" w:cs="Calibri"/>
                <w:color w:val="000000" w:themeColor="text1"/>
              </w:rPr>
              <w:t xml:space="preserve"> helps to overcome reluctance to report sexual exploitation of children.</w:t>
            </w:r>
          </w:p>
        </w:tc>
        <w:tc>
          <w:tcPr>
            <w:tcW w:w="1701" w:type="dxa"/>
          </w:tcPr>
          <w:p w14:paraId="2FE995F4" w14:textId="77777777" w:rsidR="00481C9A" w:rsidRPr="00AB627D" w:rsidRDefault="00481C9A" w:rsidP="00481C9A">
            <w:pPr>
              <w:rPr>
                <w:rFonts w:ascii="Calibri" w:hAnsi="Calibri" w:cs="Calibri"/>
                <w:color w:val="000000" w:themeColor="text1"/>
              </w:rPr>
            </w:pPr>
            <w:r w:rsidRPr="00AB627D">
              <w:rPr>
                <w:rFonts w:asciiTheme="majorHAnsi" w:hAnsiTheme="majorHAnsi" w:cstheme="majorHAnsi"/>
                <w:b/>
                <w:color w:val="000000" w:themeColor="text1"/>
                <w:lang w:val="en-GB"/>
              </w:rPr>
              <w:t>Yes</w:t>
            </w:r>
          </w:p>
        </w:tc>
        <w:tc>
          <w:tcPr>
            <w:tcW w:w="3969" w:type="dxa"/>
          </w:tcPr>
          <w:p w14:paraId="2F2A7680" w14:textId="77777777" w:rsidR="00481C9A" w:rsidRPr="00AB627D" w:rsidRDefault="00481C9A" w:rsidP="00481C9A">
            <w:pPr>
              <w:rPr>
                <w:rFonts w:ascii="Calibri" w:hAnsi="Calibri" w:cs="Calibri"/>
                <w:color w:val="000000" w:themeColor="text1"/>
              </w:rPr>
            </w:pPr>
            <w:r w:rsidRPr="00AB627D">
              <w:rPr>
                <w:rFonts w:ascii="Calibri" w:hAnsi="Calibri" w:cs="Calibri"/>
                <w:color w:val="000000" w:themeColor="text1"/>
              </w:rPr>
              <w:t xml:space="preserve">Crimes against children can be reported throughout Childline 1098, a free emergency helpline for children in need of aid and assistance. It is managed through the Childline India Foundation, the nodal agency of the Union Ministry of Women and Child Development for implementing and monitoring the Childline 1098 service over the country.  As of June 2021, Childline services operates in over 598 cities and districts, now covering 83% of India.  In addition, in 2015-2016, Childline Help Desks were set up at railway stations as an institutional mechanism, with kiosks and booths providing immediate attention to unaccompanied children.  As of August 2021, 144 Child Help Desk were operating at railway stations across India. </w:t>
            </w:r>
          </w:p>
          <w:p w14:paraId="0B10E392" w14:textId="77777777" w:rsidR="00481C9A" w:rsidRPr="00AB627D" w:rsidRDefault="00481C9A" w:rsidP="00481C9A">
            <w:pPr>
              <w:rPr>
                <w:rFonts w:ascii="Calibri" w:hAnsi="Calibri" w:cs="Calibri"/>
                <w:color w:val="000000" w:themeColor="text1"/>
              </w:rPr>
            </w:pPr>
          </w:p>
        </w:tc>
      </w:tr>
      <w:tr w:rsidR="00481C9A" w:rsidRPr="00436380" w14:paraId="30D37107" w14:textId="77777777" w:rsidTr="00481C9A">
        <w:trPr>
          <w:trHeight w:val="576"/>
        </w:trPr>
        <w:tc>
          <w:tcPr>
            <w:tcW w:w="846" w:type="dxa"/>
          </w:tcPr>
          <w:p w14:paraId="1DE3543B" w14:textId="77777777" w:rsidR="00481C9A" w:rsidRPr="00AB627D" w:rsidRDefault="00481C9A" w:rsidP="00481C9A">
            <w:pPr>
              <w:pStyle w:val="ListParagraph"/>
              <w:numPr>
                <w:ilvl w:val="0"/>
                <w:numId w:val="1"/>
              </w:numPr>
              <w:rPr>
                <w:rFonts w:ascii="Calibri" w:hAnsi="Calibri" w:cs="Calibri"/>
                <w:color w:val="000000" w:themeColor="text1"/>
                <w:lang w:val="en-GB"/>
              </w:rPr>
            </w:pPr>
          </w:p>
        </w:tc>
        <w:tc>
          <w:tcPr>
            <w:tcW w:w="2977" w:type="dxa"/>
          </w:tcPr>
          <w:p w14:paraId="35231BCC" w14:textId="77777777" w:rsidR="00481C9A" w:rsidRPr="00AB627D" w:rsidRDefault="00481C9A" w:rsidP="00481C9A">
            <w:pPr>
              <w:rPr>
                <w:rFonts w:ascii="Calibri" w:hAnsi="Calibri" w:cs="Calibri"/>
                <w:color w:val="000000" w:themeColor="text1"/>
              </w:rPr>
            </w:pPr>
            <w:r w:rsidRPr="00AB627D">
              <w:rPr>
                <w:rFonts w:ascii="Calibri" w:eastAsia="Calibri" w:hAnsi="Calibri" w:cs="Calibri"/>
                <w:color w:val="000000" w:themeColor="text1"/>
              </w:rPr>
              <w:t xml:space="preserve">Create </w:t>
            </w:r>
            <w:r w:rsidRPr="00AB627D">
              <w:rPr>
                <w:rFonts w:ascii="Calibri" w:eastAsia="Calibri" w:hAnsi="Calibri" w:cs="Calibri"/>
                <w:b/>
                <w:color w:val="000000" w:themeColor="text1"/>
              </w:rPr>
              <w:t xml:space="preserve">data retention and </w:t>
            </w:r>
            <w:r w:rsidRPr="00AB627D">
              <w:rPr>
                <w:rFonts w:ascii="Calibri" w:eastAsia="Calibri" w:hAnsi="Calibri" w:cs="Calibri"/>
                <w:color w:val="000000" w:themeColor="text1"/>
              </w:rPr>
              <w:t>preservation laws, regulations and procedures, to ensure the retention and preservation of digital evidence and enable cooperation with law enforcement which applies to ISPs, mobile phone companies, digital social media and communication companies, cloud storage companies, based in/operating in national jurisdiction.</w:t>
            </w:r>
          </w:p>
        </w:tc>
        <w:tc>
          <w:tcPr>
            <w:tcW w:w="1701" w:type="dxa"/>
          </w:tcPr>
          <w:p w14:paraId="1EEE3C13" w14:textId="77777777" w:rsidR="00481C9A" w:rsidRPr="00AB627D" w:rsidRDefault="00481C9A" w:rsidP="00481C9A">
            <w:pPr>
              <w:rPr>
                <w:rFonts w:ascii="Calibri" w:hAnsi="Calibri" w:cs="Calibri"/>
                <w:color w:val="000000" w:themeColor="text1"/>
              </w:rPr>
            </w:pPr>
            <w:r w:rsidRPr="00AB627D">
              <w:rPr>
                <w:rFonts w:asciiTheme="majorHAnsi" w:hAnsiTheme="majorHAnsi" w:cstheme="majorHAnsi"/>
                <w:b/>
                <w:color w:val="000000" w:themeColor="text1"/>
                <w:lang w:val="en-GB"/>
              </w:rPr>
              <w:t>Yes</w:t>
            </w:r>
          </w:p>
        </w:tc>
        <w:tc>
          <w:tcPr>
            <w:tcW w:w="3969" w:type="dxa"/>
          </w:tcPr>
          <w:p w14:paraId="34836C03" w14:textId="77777777" w:rsidR="00481C9A" w:rsidRPr="00AB627D" w:rsidRDefault="00481C9A" w:rsidP="00481C9A">
            <w:pPr>
              <w:rPr>
                <w:rFonts w:ascii="Calibri" w:hAnsi="Calibri" w:cs="Calibri"/>
                <w:color w:val="000000" w:themeColor="text1"/>
              </w:rPr>
            </w:pPr>
            <w:r w:rsidRPr="00AB627D">
              <w:rPr>
                <w:rFonts w:ascii="Calibri" w:hAnsi="Calibri" w:cs="Calibri"/>
                <w:color w:val="000000" w:themeColor="text1"/>
              </w:rPr>
              <w:t xml:space="preserve">Section 7 of the IT Act, 2000 provides for the retention of electronic records. Additionally, Section 67C deals with retention of data by intermediaries. However, these do not specifically relate </w:t>
            </w:r>
            <w:r w:rsidRPr="00AB627D">
              <w:rPr>
                <w:rFonts w:ascii="Calibri" w:eastAsia="Times New Roman" w:hAnsi="Calibri" w:cs="Calibri"/>
                <w:color w:val="000000" w:themeColor="text1"/>
                <w:lang w:val="en-GB"/>
              </w:rPr>
              <w:t>to digital evidence in cases related to sexual exploitation of children.</w:t>
            </w:r>
          </w:p>
        </w:tc>
      </w:tr>
      <w:tr w:rsidR="00481C9A" w:rsidRPr="00436380" w14:paraId="2F036076" w14:textId="77777777" w:rsidTr="00481C9A">
        <w:trPr>
          <w:trHeight w:val="699"/>
        </w:trPr>
        <w:tc>
          <w:tcPr>
            <w:tcW w:w="846" w:type="dxa"/>
          </w:tcPr>
          <w:p w14:paraId="3AA3ED63" w14:textId="77777777" w:rsidR="00481C9A" w:rsidRPr="00AB627D" w:rsidRDefault="00481C9A" w:rsidP="00481C9A">
            <w:pPr>
              <w:pStyle w:val="ListParagraph"/>
              <w:numPr>
                <w:ilvl w:val="0"/>
                <w:numId w:val="1"/>
              </w:numPr>
              <w:rPr>
                <w:rFonts w:ascii="Calibri" w:hAnsi="Calibri" w:cs="Calibri"/>
                <w:color w:val="000000" w:themeColor="text1"/>
                <w:lang w:val="en-GB"/>
              </w:rPr>
            </w:pPr>
            <w:r w:rsidRPr="00AB627D">
              <w:rPr>
                <w:rFonts w:ascii="Calibri" w:hAnsi="Calibri" w:cs="Calibri"/>
                <w:color w:val="000000" w:themeColor="text1"/>
                <w:lang w:val="en-GB"/>
              </w:rPr>
              <w:t xml:space="preserve"> </w:t>
            </w:r>
          </w:p>
        </w:tc>
        <w:tc>
          <w:tcPr>
            <w:tcW w:w="2977" w:type="dxa"/>
          </w:tcPr>
          <w:p w14:paraId="3DD6D29F" w14:textId="77777777" w:rsidR="00481C9A" w:rsidRPr="00AB627D" w:rsidRDefault="00481C9A" w:rsidP="00481C9A">
            <w:pPr>
              <w:rPr>
                <w:rFonts w:ascii="Calibri" w:hAnsi="Calibri" w:cs="Calibri"/>
                <w:color w:val="000000" w:themeColor="text1"/>
                <w:lang w:val="en-GB"/>
              </w:rPr>
            </w:pPr>
            <w:r w:rsidRPr="00AB627D">
              <w:rPr>
                <w:rFonts w:ascii="Calibri" w:eastAsia="Calibri" w:hAnsi="Calibri" w:cs="Calibri"/>
                <w:color w:val="000000" w:themeColor="text1"/>
              </w:rPr>
              <w:t xml:space="preserve">Ensure that national legislation provides the </w:t>
            </w:r>
            <w:r w:rsidRPr="00AB627D">
              <w:rPr>
                <w:rFonts w:ascii="Calibri" w:eastAsia="Calibri" w:hAnsi="Calibri" w:cs="Calibri"/>
                <w:b/>
                <w:color w:val="000000" w:themeColor="text1"/>
              </w:rPr>
              <w:t>right for all child victims of sexual exploitation to seek compensation</w:t>
            </w:r>
            <w:r w:rsidRPr="00AB627D">
              <w:rPr>
                <w:rFonts w:ascii="Calibri" w:eastAsia="Calibri" w:hAnsi="Calibri" w:cs="Calibri"/>
                <w:color w:val="000000" w:themeColor="text1"/>
              </w:rPr>
              <w:t xml:space="preserve"> in national courts from convicted perpetrators who harmed them and/or through state-managed funds.</w:t>
            </w:r>
          </w:p>
        </w:tc>
        <w:tc>
          <w:tcPr>
            <w:tcW w:w="1701" w:type="dxa"/>
          </w:tcPr>
          <w:p w14:paraId="755AE790" w14:textId="77777777" w:rsidR="00481C9A" w:rsidRPr="00AB627D" w:rsidRDefault="00481C9A" w:rsidP="00481C9A">
            <w:pPr>
              <w:rPr>
                <w:rFonts w:ascii="Calibri" w:hAnsi="Calibri" w:cs="Calibri"/>
                <w:color w:val="000000" w:themeColor="text1"/>
              </w:rPr>
            </w:pPr>
            <w:r w:rsidRPr="00AB627D">
              <w:rPr>
                <w:rFonts w:asciiTheme="majorHAnsi" w:hAnsiTheme="majorHAnsi" w:cstheme="majorHAnsi"/>
                <w:b/>
                <w:color w:val="000000" w:themeColor="text1"/>
                <w:lang w:val="en-GB"/>
              </w:rPr>
              <w:t>Yes</w:t>
            </w:r>
          </w:p>
        </w:tc>
        <w:tc>
          <w:tcPr>
            <w:tcW w:w="3969" w:type="dxa"/>
          </w:tcPr>
          <w:p w14:paraId="3B727C4B" w14:textId="77777777" w:rsidR="00481C9A" w:rsidRPr="00AB627D" w:rsidRDefault="00481C9A" w:rsidP="00481C9A">
            <w:pPr>
              <w:rPr>
                <w:rFonts w:ascii="Calibri" w:hAnsi="Calibri" w:cs="Calibri"/>
                <w:color w:val="000000" w:themeColor="text1"/>
              </w:rPr>
            </w:pPr>
            <w:r w:rsidRPr="00AB627D">
              <w:rPr>
                <w:rFonts w:ascii="Calibri" w:hAnsi="Calibri" w:cs="Calibri"/>
                <w:color w:val="000000" w:themeColor="text1"/>
              </w:rPr>
              <w:t xml:space="preserve">Section 357 and 357A of the Code of Criminal Procedure provide for compensation to all victims of crimes. </w:t>
            </w:r>
          </w:p>
          <w:p w14:paraId="32172230" w14:textId="77777777" w:rsidR="00481C9A" w:rsidRPr="00AB627D" w:rsidRDefault="00481C9A" w:rsidP="00481C9A">
            <w:pPr>
              <w:rPr>
                <w:rFonts w:ascii="Calibri" w:hAnsi="Calibri" w:cs="Calibri"/>
                <w:color w:val="000000" w:themeColor="text1"/>
              </w:rPr>
            </w:pPr>
            <w:r w:rsidRPr="00AB627D">
              <w:rPr>
                <w:rFonts w:ascii="Calibri" w:hAnsi="Calibri" w:cs="Calibri"/>
                <w:color w:val="000000" w:themeColor="text1"/>
              </w:rPr>
              <w:t xml:space="preserve">Rule 9 of the POCSO Rules, 2020, deals with compensation to child victims of sexual offences. It permits the special courts to pass an order for interim compensation to meet the immediate needs of the child for relief or rehabilitation at any stage after registration of the First Information Report. </w:t>
            </w:r>
          </w:p>
          <w:p w14:paraId="3C875637" w14:textId="77777777" w:rsidR="00481C9A" w:rsidRPr="00AB627D" w:rsidRDefault="00481C9A" w:rsidP="00481C9A">
            <w:pPr>
              <w:rPr>
                <w:rFonts w:ascii="Calibri" w:hAnsi="Calibri" w:cs="Calibri"/>
                <w:color w:val="000000" w:themeColor="text1"/>
              </w:rPr>
            </w:pPr>
            <w:r w:rsidRPr="00AB627D">
              <w:rPr>
                <w:rFonts w:ascii="Calibri" w:hAnsi="Calibri" w:cs="Calibri"/>
                <w:color w:val="000000" w:themeColor="text1"/>
                <w:shd w:val="clear" w:color="auto" w:fill="FFFFFF"/>
              </w:rPr>
              <w:t xml:space="preserve">According Rule 9(4), “The compensation awarded by the Special Court is to be paid by the State Government from the Victims Compensation Fund or other scheme or fund established by it for the </w:t>
            </w:r>
            <w:r w:rsidRPr="00AB627D">
              <w:rPr>
                <w:rFonts w:ascii="Calibri" w:hAnsi="Calibri" w:cs="Calibri"/>
                <w:color w:val="000000" w:themeColor="text1"/>
                <w:shd w:val="clear" w:color="auto" w:fill="FFFFFF"/>
              </w:rPr>
              <w:lastRenderedPageBreak/>
              <w:t xml:space="preserve">purposes of compensating and rehabilitating victims under section 357A of the Code of Criminal Procedure, 1973 or any other law for the time being in force, or, where such fund or scheme does not exist, by the State </w:t>
            </w:r>
            <w:proofErr w:type="spellStart"/>
            <w:r w:rsidRPr="00AB627D">
              <w:rPr>
                <w:rFonts w:ascii="Calibri" w:hAnsi="Calibri" w:cs="Calibri"/>
                <w:color w:val="000000" w:themeColor="text1"/>
                <w:shd w:val="clear" w:color="auto" w:fill="FFFFFF"/>
              </w:rPr>
              <w:t>Government”.</w:t>
            </w:r>
            <w:r w:rsidRPr="00AB627D">
              <w:rPr>
                <w:rFonts w:ascii="Calibri" w:hAnsi="Calibri" w:cs="Calibri"/>
                <w:color w:val="000000" w:themeColor="text1"/>
              </w:rPr>
              <w:t>The</w:t>
            </w:r>
            <w:proofErr w:type="spellEnd"/>
            <w:r w:rsidRPr="00AB627D">
              <w:rPr>
                <w:rFonts w:ascii="Calibri" w:hAnsi="Calibri" w:cs="Calibri"/>
                <w:color w:val="000000" w:themeColor="text1"/>
              </w:rPr>
              <w:t xml:space="preserve"> law does not make explicit difference between national and non-national child victims, but it does not even clearly state if relevant provisions would be applied to non-nationals</w:t>
            </w:r>
          </w:p>
        </w:tc>
      </w:tr>
    </w:tbl>
    <w:p w14:paraId="4B866876" w14:textId="77777777" w:rsidR="00666D84" w:rsidRDefault="00666D84">
      <w:pPr>
        <w:rPr>
          <w:b/>
          <w:bCs/>
        </w:rPr>
      </w:pPr>
    </w:p>
    <w:p w14:paraId="63A79F2A" w14:textId="3366154F" w:rsidR="00811F2B" w:rsidRDefault="000F2BB5" w:rsidP="00666D84">
      <w:pPr>
        <w:jc w:val="center"/>
        <w:rPr>
          <w:b/>
          <w:bCs/>
        </w:rPr>
      </w:pPr>
      <w:r>
        <w:rPr>
          <w:b/>
          <w:bCs/>
        </w:rPr>
        <w:t>L</w:t>
      </w:r>
      <w:r w:rsidR="00F15645">
        <w:rPr>
          <w:b/>
          <w:bCs/>
        </w:rPr>
        <w:t xml:space="preserve">EGAL </w:t>
      </w:r>
      <w:r w:rsidR="00F15645" w:rsidRPr="0012650B">
        <w:rPr>
          <w:b/>
          <w:bCs/>
        </w:rPr>
        <w:t>SOURCES</w:t>
      </w:r>
    </w:p>
    <w:p w14:paraId="747B927A" w14:textId="77777777" w:rsidR="00F15645" w:rsidRPr="0012650B" w:rsidRDefault="00F15645" w:rsidP="00666D84">
      <w:pPr>
        <w:jc w:val="center"/>
        <w:rPr>
          <w:b/>
          <w:bCs/>
        </w:rPr>
      </w:pPr>
    </w:p>
    <w:p w14:paraId="454AF439" w14:textId="6788113C" w:rsidR="0012650B" w:rsidRDefault="0012650B"/>
    <w:p w14:paraId="63073F77" w14:textId="6319757F" w:rsidR="00F6556F" w:rsidRDefault="007401FD" w:rsidP="00F6556F">
      <w:hyperlink r:id="rId15" w:history="1">
        <w:r w:rsidR="00F6556F" w:rsidRPr="00F61498">
          <w:rPr>
            <w:rStyle w:val="Hyperlink"/>
          </w:rPr>
          <w:t xml:space="preserve">Code of Conduct for Safe and </w:t>
        </w:r>
        <w:proofErr w:type="spellStart"/>
        <w:r w:rsidR="00F6556F" w:rsidRPr="00F61498">
          <w:rPr>
            <w:rStyle w:val="Hyperlink"/>
          </w:rPr>
          <w:t>Honourable</w:t>
        </w:r>
        <w:proofErr w:type="spellEnd"/>
        <w:r w:rsidR="00F6556F" w:rsidRPr="00F61498">
          <w:rPr>
            <w:rStyle w:val="Hyperlink"/>
          </w:rPr>
          <w:t xml:space="preserve"> Tourism</w:t>
        </w:r>
      </w:hyperlink>
      <w:r w:rsidR="00F6556F">
        <w:t xml:space="preserve"> </w:t>
      </w:r>
    </w:p>
    <w:p w14:paraId="62BD818B" w14:textId="2BB9DBBA" w:rsidR="00F6556F" w:rsidRPr="00F6556F" w:rsidRDefault="007401FD" w:rsidP="00F6556F">
      <w:hyperlink r:id="rId16" w:history="1">
        <w:r w:rsidR="00F6556F" w:rsidRPr="00F6556F">
          <w:rPr>
            <w:rStyle w:val="Hyperlink"/>
          </w:rPr>
          <w:t>Code of Criminal Procedure (</w:t>
        </w:r>
        <w:proofErr w:type="spellStart"/>
        <w:r w:rsidR="00F6556F" w:rsidRPr="00F6556F">
          <w:rPr>
            <w:rStyle w:val="Hyperlink"/>
          </w:rPr>
          <w:t>CrPC</w:t>
        </w:r>
        <w:proofErr w:type="spellEnd"/>
        <w:r w:rsidR="00F6556F" w:rsidRPr="00F6556F">
          <w:rPr>
            <w:rStyle w:val="Hyperlink"/>
          </w:rPr>
          <w:t>), 1973 (amended in 201</w:t>
        </w:r>
        <w:r w:rsidR="00F15645">
          <w:rPr>
            <w:rStyle w:val="Hyperlink"/>
          </w:rPr>
          <w:t>4</w:t>
        </w:r>
        <w:r w:rsidR="00F6556F" w:rsidRPr="00F6556F">
          <w:rPr>
            <w:rStyle w:val="Hyperlink"/>
          </w:rPr>
          <w:t>)</w:t>
        </w:r>
      </w:hyperlink>
    </w:p>
    <w:p w14:paraId="6B95C58C" w14:textId="668D811C" w:rsidR="0025604B" w:rsidRDefault="007401FD">
      <w:pPr>
        <w:rPr>
          <w:rStyle w:val="Hyperlink"/>
        </w:rPr>
      </w:pPr>
      <w:hyperlink r:id="rId17" w:history="1">
        <w:r w:rsidR="0025604B" w:rsidRPr="0025604B">
          <w:rPr>
            <w:rStyle w:val="Hyperlink"/>
          </w:rPr>
          <w:t>Extradition Act, 1962</w:t>
        </w:r>
      </w:hyperlink>
    </w:p>
    <w:p w14:paraId="14BA204A" w14:textId="2051225D" w:rsidR="00F6556F" w:rsidRDefault="007401FD">
      <w:pPr>
        <w:rPr>
          <w:rStyle w:val="Hyperlink"/>
        </w:rPr>
      </w:pPr>
      <w:hyperlink r:id="rId18" w:history="1">
        <w:r w:rsidR="00F6556F" w:rsidRPr="00F6556F">
          <w:rPr>
            <w:rStyle w:val="Hyperlink"/>
          </w:rPr>
          <w:t>Foreigners Act, 1946</w:t>
        </w:r>
      </w:hyperlink>
    </w:p>
    <w:p w14:paraId="5D9EFFB6" w14:textId="6F9DD325" w:rsidR="00786315" w:rsidRDefault="007401FD">
      <w:hyperlink r:id="rId19" w:history="1">
        <w:r w:rsidR="00786315" w:rsidRPr="00786315">
          <w:rPr>
            <w:rStyle w:val="Hyperlink"/>
          </w:rPr>
          <w:t>Indian Evidence Act, 1972 (as amended in 2013)</w:t>
        </w:r>
      </w:hyperlink>
    </w:p>
    <w:p w14:paraId="54C8C247" w14:textId="04071C6F" w:rsidR="00701D63" w:rsidRPr="00816902" w:rsidRDefault="007401FD">
      <w:pPr>
        <w:rPr>
          <w:lang w:val="en-IN"/>
        </w:rPr>
      </w:pPr>
      <w:hyperlink r:id="rId20" w:history="1">
        <w:r w:rsidR="00701D63" w:rsidRPr="00701D63">
          <w:rPr>
            <w:rStyle w:val="Hyperlink"/>
          </w:rPr>
          <w:t>Indian Penal Code</w:t>
        </w:r>
        <w:r w:rsidR="00F6556F">
          <w:rPr>
            <w:rStyle w:val="Hyperlink"/>
          </w:rPr>
          <w:t xml:space="preserve"> (IPC)</w:t>
        </w:r>
        <w:r w:rsidR="00701D63" w:rsidRPr="00701D63">
          <w:rPr>
            <w:rStyle w:val="Hyperlink"/>
          </w:rPr>
          <w:t>, 1860 (as amended in 2018)</w:t>
        </w:r>
      </w:hyperlink>
    </w:p>
    <w:p w14:paraId="6A0A2587" w14:textId="5598F441" w:rsidR="0012650B" w:rsidRDefault="007401FD">
      <w:pPr>
        <w:rPr>
          <w:rStyle w:val="Hyperlink"/>
        </w:rPr>
      </w:pPr>
      <w:hyperlink r:id="rId21" w:history="1">
        <w:r w:rsidR="0012650B" w:rsidRPr="0012650B">
          <w:rPr>
            <w:rStyle w:val="Hyperlink"/>
          </w:rPr>
          <w:t>Information Technology</w:t>
        </w:r>
        <w:r w:rsidR="00F6556F">
          <w:rPr>
            <w:rStyle w:val="Hyperlink"/>
          </w:rPr>
          <w:t xml:space="preserve"> (IT)</w:t>
        </w:r>
        <w:r w:rsidR="0012650B" w:rsidRPr="0012650B">
          <w:rPr>
            <w:rStyle w:val="Hyperlink"/>
          </w:rPr>
          <w:t xml:space="preserve"> Act, 2000</w:t>
        </w:r>
      </w:hyperlink>
      <w:r w:rsidR="00F6556F">
        <w:rPr>
          <w:rStyle w:val="Hyperlink"/>
        </w:rPr>
        <w:t xml:space="preserve"> (amended in 2008)</w:t>
      </w:r>
    </w:p>
    <w:p w14:paraId="219CE1DB" w14:textId="034955A7" w:rsidR="001366BB" w:rsidRDefault="007401FD">
      <w:pPr>
        <w:rPr>
          <w:rStyle w:val="Hyperlink"/>
        </w:rPr>
      </w:pPr>
      <w:hyperlink r:id="rId22" w:history="1">
        <w:r w:rsidR="001366BB" w:rsidRPr="001366BB">
          <w:rPr>
            <w:rStyle w:val="Hyperlink"/>
          </w:rPr>
          <w:t>Immoral Traffic Prevention Act, 1956</w:t>
        </w:r>
      </w:hyperlink>
      <w:r w:rsidR="001366BB">
        <w:rPr>
          <w:rStyle w:val="Hyperlink"/>
        </w:rPr>
        <w:t>.</w:t>
      </w:r>
    </w:p>
    <w:p w14:paraId="2F67A63C" w14:textId="7CFC7F93" w:rsidR="00CD2788" w:rsidRDefault="007401FD">
      <w:pPr>
        <w:rPr>
          <w:rStyle w:val="Hyperlink"/>
        </w:rPr>
      </w:pPr>
      <w:hyperlink r:id="rId23" w:history="1">
        <w:r w:rsidR="00CD2788" w:rsidRPr="00F466D1">
          <w:rPr>
            <w:rStyle w:val="Hyperlink"/>
          </w:rPr>
          <w:t>Juvenile Justice (Care and Protection of Children) Act, 2015</w:t>
        </w:r>
      </w:hyperlink>
    </w:p>
    <w:p w14:paraId="4CD9443D" w14:textId="77777777" w:rsidR="005C4B8D" w:rsidRDefault="007401FD">
      <w:pPr>
        <w:rPr>
          <w:rStyle w:val="Hyperlink"/>
        </w:rPr>
      </w:pPr>
      <w:hyperlink r:id="rId24" w:history="1">
        <w:r w:rsidR="00A3628E" w:rsidRPr="00A3628E">
          <w:rPr>
            <w:rStyle w:val="Hyperlink"/>
          </w:rPr>
          <w:t>Protection of Children from Sexual Offences Act</w:t>
        </w:r>
        <w:r w:rsidR="00F6556F">
          <w:rPr>
            <w:rStyle w:val="Hyperlink"/>
          </w:rPr>
          <w:t xml:space="preserve"> (POCSO)</w:t>
        </w:r>
        <w:r w:rsidR="00A3628E" w:rsidRPr="00A3628E">
          <w:rPr>
            <w:rStyle w:val="Hyperlink"/>
          </w:rPr>
          <w:t>, 2012</w:t>
        </w:r>
      </w:hyperlink>
    </w:p>
    <w:p w14:paraId="18735733" w14:textId="1D4FA514" w:rsidR="00A3628E" w:rsidRDefault="007401FD">
      <w:pPr>
        <w:rPr>
          <w:rStyle w:val="Hyperlink"/>
        </w:rPr>
      </w:pPr>
      <w:hyperlink r:id="rId25" w:history="1">
        <w:r w:rsidR="005C4B8D" w:rsidRPr="005C4B8D">
          <w:rPr>
            <w:rStyle w:val="Hyperlink"/>
          </w:rPr>
          <w:t xml:space="preserve">Protection of Children from Sexual Offences Amendment Act </w:t>
        </w:r>
        <w:r w:rsidR="00CD2788" w:rsidRPr="005C4B8D">
          <w:rPr>
            <w:rStyle w:val="Hyperlink"/>
          </w:rPr>
          <w:t>2019</w:t>
        </w:r>
      </w:hyperlink>
    </w:p>
    <w:p w14:paraId="0F4C818F" w14:textId="39CB1517" w:rsidR="00506EA5" w:rsidRDefault="007401FD">
      <w:hyperlink r:id="rId26" w:history="1">
        <w:r w:rsidR="00506EA5" w:rsidRPr="00506EA5">
          <w:rPr>
            <w:rStyle w:val="Hyperlink"/>
          </w:rPr>
          <w:t>Protection of Children from Sexual Offences Rules</w:t>
        </w:r>
        <w:r w:rsidR="00F6556F">
          <w:rPr>
            <w:rStyle w:val="Hyperlink"/>
          </w:rPr>
          <w:t xml:space="preserve"> (POCSO</w:t>
        </w:r>
        <w:r w:rsidR="00430778">
          <w:rPr>
            <w:rStyle w:val="Hyperlink"/>
          </w:rPr>
          <w:t>)</w:t>
        </w:r>
        <w:r w:rsidR="00506EA5" w:rsidRPr="00506EA5">
          <w:rPr>
            <w:rStyle w:val="Hyperlink"/>
          </w:rPr>
          <w:t>, 2012.</w:t>
        </w:r>
      </w:hyperlink>
      <w:r w:rsidR="00506EA5">
        <w:t xml:space="preserve"> </w:t>
      </w:r>
    </w:p>
    <w:p w14:paraId="179409F8" w14:textId="09EA05CB" w:rsidR="002D58D0" w:rsidRDefault="007401FD">
      <w:pPr>
        <w:rPr>
          <w:rStyle w:val="Hyperlink"/>
        </w:rPr>
      </w:pPr>
      <w:hyperlink r:id="rId27" w:history="1">
        <w:r w:rsidR="002D58D0" w:rsidRPr="002D58D0">
          <w:rPr>
            <w:rStyle w:val="Hyperlink"/>
          </w:rPr>
          <w:t>Protection of Children from Sexual Offences Rules</w:t>
        </w:r>
        <w:r w:rsidR="00F6556F">
          <w:rPr>
            <w:rStyle w:val="Hyperlink"/>
          </w:rPr>
          <w:t xml:space="preserve"> (POCSO)</w:t>
        </w:r>
        <w:r w:rsidR="002D58D0" w:rsidRPr="002D58D0">
          <w:rPr>
            <w:rStyle w:val="Hyperlink"/>
          </w:rPr>
          <w:t>, 2020.</w:t>
        </w:r>
      </w:hyperlink>
    </w:p>
    <w:p w14:paraId="4B18E515" w14:textId="77777777" w:rsidR="0012650B" w:rsidRDefault="0012650B"/>
    <w:sectPr w:rsidR="0012650B" w:rsidSect="00BF1B85">
      <w:headerReference w:type="default" r:id="rId28"/>
      <w:footerReference w:type="default" r:id="rId29"/>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712DB" w14:textId="77777777" w:rsidR="007401FD" w:rsidRDefault="007401FD" w:rsidP="00A15DD7">
      <w:pPr>
        <w:spacing w:line="240" w:lineRule="auto"/>
      </w:pPr>
      <w:r>
        <w:separator/>
      </w:r>
    </w:p>
  </w:endnote>
  <w:endnote w:type="continuationSeparator" w:id="0">
    <w:p w14:paraId="640396C1" w14:textId="77777777" w:rsidR="007401FD" w:rsidRDefault="007401FD" w:rsidP="00A15D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Bol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165742"/>
      <w:docPartObj>
        <w:docPartGallery w:val="Page Numbers (Bottom of Page)"/>
        <w:docPartUnique/>
      </w:docPartObj>
    </w:sdtPr>
    <w:sdtEndPr>
      <w:rPr>
        <w:noProof/>
      </w:rPr>
    </w:sdtEndPr>
    <w:sdtContent>
      <w:p w14:paraId="5F9BC3B2" w14:textId="7F433756" w:rsidR="00CA2553" w:rsidRDefault="00CB2C90">
        <w:pPr>
          <w:pStyle w:val="Footer"/>
          <w:jc w:val="center"/>
        </w:pPr>
        <w:r>
          <w:fldChar w:fldCharType="begin"/>
        </w:r>
        <w:r>
          <w:instrText xml:space="preserve"> PAGE   \* MERGEFORMAT </w:instrText>
        </w:r>
        <w:r>
          <w:fldChar w:fldCharType="separate"/>
        </w:r>
        <w:r w:rsidR="000F2BB5">
          <w:rPr>
            <w:noProof/>
          </w:rPr>
          <w:t>3</w:t>
        </w:r>
        <w:r>
          <w:rPr>
            <w:noProof/>
          </w:rPr>
          <w:fldChar w:fldCharType="end"/>
        </w:r>
      </w:p>
    </w:sdtContent>
  </w:sdt>
  <w:p w14:paraId="75AF6E36" w14:textId="77777777" w:rsidR="00CA2553" w:rsidRDefault="00740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48F8C" w14:textId="77777777" w:rsidR="007401FD" w:rsidRDefault="007401FD" w:rsidP="00A15DD7">
      <w:pPr>
        <w:spacing w:line="240" w:lineRule="auto"/>
      </w:pPr>
      <w:r>
        <w:separator/>
      </w:r>
    </w:p>
  </w:footnote>
  <w:footnote w:type="continuationSeparator" w:id="0">
    <w:p w14:paraId="7328EFC2" w14:textId="77777777" w:rsidR="007401FD" w:rsidRDefault="007401FD" w:rsidP="00A15D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C3578" w14:textId="3743AE4E" w:rsidR="00A15DD7" w:rsidRPr="00351F0B" w:rsidRDefault="00A15DD7" w:rsidP="00A15DD7">
    <w:pPr>
      <w:pStyle w:val="Heading2"/>
    </w:pPr>
  </w:p>
  <w:p w14:paraId="4C437B4C" w14:textId="77777777" w:rsidR="00A15DD7" w:rsidRPr="00A15DD7" w:rsidRDefault="00A15DD7" w:rsidP="00A15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C14C9"/>
    <w:multiLevelType w:val="multilevel"/>
    <w:tmpl w:val="10644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54C7F"/>
    <w:multiLevelType w:val="hybridMultilevel"/>
    <w:tmpl w:val="52AE3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5408F"/>
    <w:multiLevelType w:val="hybridMultilevel"/>
    <w:tmpl w:val="EF120DE6"/>
    <w:lvl w:ilvl="0" w:tplc="CA34DC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27C32848"/>
    <w:multiLevelType w:val="multilevel"/>
    <w:tmpl w:val="059A543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4E7E94"/>
    <w:multiLevelType w:val="hybridMultilevel"/>
    <w:tmpl w:val="6ECC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82F96"/>
    <w:multiLevelType w:val="hybridMultilevel"/>
    <w:tmpl w:val="9334CBE2"/>
    <w:lvl w:ilvl="0" w:tplc="2D44E6FA">
      <w:start w:val="1"/>
      <w:numFmt w:val="bullet"/>
      <w:lvlText w:val=""/>
      <w:lvlJc w:val="left"/>
      <w:pPr>
        <w:ind w:left="288" w:firstLine="7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83094"/>
    <w:multiLevelType w:val="multilevel"/>
    <w:tmpl w:val="B308D7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E981D36"/>
    <w:multiLevelType w:val="hybridMultilevel"/>
    <w:tmpl w:val="70A00A38"/>
    <w:lvl w:ilvl="0" w:tplc="13920746">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DD7"/>
    <w:rsid w:val="00016561"/>
    <w:rsid w:val="000E1F58"/>
    <w:rsid w:val="000E3178"/>
    <w:rsid w:val="000F2BB5"/>
    <w:rsid w:val="0012650B"/>
    <w:rsid w:val="001366BB"/>
    <w:rsid w:val="001500CF"/>
    <w:rsid w:val="00152962"/>
    <w:rsid w:val="00157AFA"/>
    <w:rsid w:val="0017640A"/>
    <w:rsid w:val="00180C64"/>
    <w:rsid w:val="0018119A"/>
    <w:rsid w:val="001945D7"/>
    <w:rsid w:val="001E2800"/>
    <w:rsid w:val="001E35E2"/>
    <w:rsid w:val="001E7DA0"/>
    <w:rsid w:val="002152AE"/>
    <w:rsid w:val="00227783"/>
    <w:rsid w:val="002349D5"/>
    <w:rsid w:val="00234B9F"/>
    <w:rsid w:val="0025604B"/>
    <w:rsid w:val="00277AD4"/>
    <w:rsid w:val="00287CCE"/>
    <w:rsid w:val="002B76A1"/>
    <w:rsid w:val="002C5B4F"/>
    <w:rsid w:val="002D58D0"/>
    <w:rsid w:val="002D58D6"/>
    <w:rsid w:val="00305CB2"/>
    <w:rsid w:val="0031588C"/>
    <w:rsid w:val="003171DD"/>
    <w:rsid w:val="00324523"/>
    <w:rsid w:val="00327C3C"/>
    <w:rsid w:val="0033128A"/>
    <w:rsid w:val="00347DBF"/>
    <w:rsid w:val="0036320C"/>
    <w:rsid w:val="003A24B5"/>
    <w:rsid w:val="003A2CAB"/>
    <w:rsid w:val="003E07B4"/>
    <w:rsid w:val="003E2CF1"/>
    <w:rsid w:val="003E3DD0"/>
    <w:rsid w:val="003F0A28"/>
    <w:rsid w:val="00403A4E"/>
    <w:rsid w:val="00406F94"/>
    <w:rsid w:val="00411B29"/>
    <w:rsid w:val="004215C7"/>
    <w:rsid w:val="00430778"/>
    <w:rsid w:val="00435A7E"/>
    <w:rsid w:val="004532B9"/>
    <w:rsid w:val="00481C9A"/>
    <w:rsid w:val="004B7203"/>
    <w:rsid w:val="004C1867"/>
    <w:rsid w:val="004C48B6"/>
    <w:rsid w:val="00506EA5"/>
    <w:rsid w:val="005122D6"/>
    <w:rsid w:val="00522F05"/>
    <w:rsid w:val="00552476"/>
    <w:rsid w:val="00555540"/>
    <w:rsid w:val="00566707"/>
    <w:rsid w:val="005807AE"/>
    <w:rsid w:val="00586C80"/>
    <w:rsid w:val="005A2267"/>
    <w:rsid w:val="005C4B8D"/>
    <w:rsid w:val="00601376"/>
    <w:rsid w:val="006127DD"/>
    <w:rsid w:val="006220BA"/>
    <w:rsid w:val="006374C2"/>
    <w:rsid w:val="006415F7"/>
    <w:rsid w:val="00666D84"/>
    <w:rsid w:val="00674B85"/>
    <w:rsid w:val="00692308"/>
    <w:rsid w:val="00693A47"/>
    <w:rsid w:val="006F4065"/>
    <w:rsid w:val="00701D63"/>
    <w:rsid w:val="007167E4"/>
    <w:rsid w:val="007401FD"/>
    <w:rsid w:val="00750086"/>
    <w:rsid w:val="00786315"/>
    <w:rsid w:val="00791A6C"/>
    <w:rsid w:val="00797F1A"/>
    <w:rsid w:val="007B25B0"/>
    <w:rsid w:val="007C4E74"/>
    <w:rsid w:val="007E7E85"/>
    <w:rsid w:val="007F497B"/>
    <w:rsid w:val="007F638F"/>
    <w:rsid w:val="007F77B3"/>
    <w:rsid w:val="00801AD0"/>
    <w:rsid w:val="00811F2B"/>
    <w:rsid w:val="00816902"/>
    <w:rsid w:val="008224EC"/>
    <w:rsid w:val="008664D6"/>
    <w:rsid w:val="008B6EE0"/>
    <w:rsid w:val="008B73C3"/>
    <w:rsid w:val="008F3A33"/>
    <w:rsid w:val="0091257B"/>
    <w:rsid w:val="009135D0"/>
    <w:rsid w:val="0091434E"/>
    <w:rsid w:val="009223F9"/>
    <w:rsid w:val="00943EE7"/>
    <w:rsid w:val="009546DB"/>
    <w:rsid w:val="00963D6E"/>
    <w:rsid w:val="00975AF2"/>
    <w:rsid w:val="00976ED9"/>
    <w:rsid w:val="009864AA"/>
    <w:rsid w:val="009F2338"/>
    <w:rsid w:val="00A005DE"/>
    <w:rsid w:val="00A15DD7"/>
    <w:rsid w:val="00A17914"/>
    <w:rsid w:val="00A3026F"/>
    <w:rsid w:val="00A3628E"/>
    <w:rsid w:val="00A53A65"/>
    <w:rsid w:val="00A64CE4"/>
    <w:rsid w:val="00A67E4F"/>
    <w:rsid w:val="00A82605"/>
    <w:rsid w:val="00A84ACC"/>
    <w:rsid w:val="00A9012B"/>
    <w:rsid w:val="00AA6C23"/>
    <w:rsid w:val="00AE79D7"/>
    <w:rsid w:val="00AF6A7F"/>
    <w:rsid w:val="00B17F25"/>
    <w:rsid w:val="00B55BEC"/>
    <w:rsid w:val="00B710FC"/>
    <w:rsid w:val="00B86E00"/>
    <w:rsid w:val="00B971EA"/>
    <w:rsid w:val="00BA2218"/>
    <w:rsid w:val="00BF1B85"/>
    <w:rsid w:val="00C07958"/>
    <w:rsid w:val="00C16B0F"/>
    <w:rsid w:val="00C714DE"/>
    <w:rsid w:val="00C83BB7"/>
    <w:rsid w:val="00CA1EF4"/>
    <w:rsid w:val="00CA5DBD"/>
    <w:rsid w:val="00CB2C90"/>
    <w:rsid w:val="00CB5909"/>
    <w:rsid w:val="00CC0144"/>
    <w:rsid w:val="00CD2788"/>
    <w:rsid w:val="00CE2CAC"/>
    <w:rsid w:val="00CF47BF"/>
    <w:rsid w:val="00D12674"/>
    <w:rsid w:val="00D45E2B"/>
    <w:rsid w:val="00D579CD"/>
    <w:rsid w:val="00D66CB3"/>
    <w:rsid w:val="00D71BC3"/>
    <w:rsid w:val="00DE45D6"/>
    <w:rsid w:val="00DF4CA6"/>
    <w:rsid w:val="00E232DF"/>
    <w:rsid w:val="00E30CCF"/>
    <w:rsid w:val="00E36B91"/>
    <w:rsid w:val="00E8362C"/>
    <w:rsid w:val="00E86697"/>
    <w:rsid w:val="00EA48CC"/>
    <w:rsid w:val="00EA51CA"/>
    <w:rsid w:val="00EB4B9F"/>
    <w:rsid w:val="00EB7493"/>
    <w:rsid w:val="00ED2583"/>
    <w:rsid w:val="00EE44C8"/>
    <w:rsid w:val="00F15645"/>
    <w:rsid w:val="00F25237"/>
    <w:rsid w:val="00F466D1"/>
    <w:rsid w:val="00F61498"/>
    <w:rsid w:val="00F6556F"/>
    <w:rsid w:val="00F93B42"/>
    <w:rsid w:val="00FA1B97"/>
    <w:rsid w:val="00FC09C5"/>
    <w:rsid w:val="00FE5234"/>
    <w:rsid w:val="00FF00B7"/>
    <w:rsid w:val="00FF38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C12DC"/>
  <w15:chartTrackingRefBased/>
  <w15:docId w15:val="{28987517-29F1-4ACB-AFA3-D0611CA6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IN"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DD7"/>
    <w:pPr>
      <w:pBdr>
        <w:top w:val="nil"/>
        <w:left w:val="nil"/>
        <w:bottom w:val="nil"/>
        <w:right w:val="nil"/>
        <w:between w:val="nil"/>
      </w:pBdr>
      <w:spacing w:after="0"/>
      <w:jc w:val="left"/>
    </w:pPr>
    <w:rPr>
      <w:rFonts w:ascii="Arial" w:eastAsia="Arial" w:hAnsi="Arial" w:cs="Arial"/>
      <w:color w:val="000000"/>
      <w:sz w:val="22"/>
      <w:szCs w:val="22"/>
      <w:lang w:val="en-US" w:bidi="th-TH"/>
    </w:rPr>
  </w:style>
  <w:style w:type="paragraph" w:styleId="Heading1">
    <w:name w:val="heading 1"/>
    <w:basedOn w:val="Normal"/>
    <w:next w:val="Normal"/>
    <w:link w:val="Heading1Char"/>
    <w:uiPriority w:val="9"/>
    <w:qFormat/>
    <w:rsid w:val="00522F05"/>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522F05"/>
    <w:pPr>
      <w:outlineLvl w:val="1"/>
    </w:pPr>
    <w:rPr>
      <w:smallCaps/>
      <w:spacing w:val="5"/>
      <w:sz w:val="28"/>
      <w:szCs w:val="28"/>
    </w:rPr>
  </w:style>
  <w:style w:type="paragraph" w:styleId="Heading3">
    <w:name w:val="heading 3"/>
    <w:basedOn w:val="Normal"/>
    <w:next w:val="Normal"/>
    <w:link w:val="Heading3Char"/>
    <w:uiPriority w:val="9"/>
    <w:semiHidden/>
    <w:unhideWhenUsed/>
    <w:qFormat/>
    <w:rsid w:val="00522F05"/>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522F05"/>
    <w:pPr>
      <w:outlineLvl w:val="3"/>
    </w:pPr>
    <w:rPr>
      <w:i/>
      <w:iCs/>
      <w:smallCaps/>
      <w:spacing w:val="10"/>
    </w:rPr>
  </w:style>
  <w:style w:type="paragraph" w:styleId="Heading5">
    <w:name w:val="heading 5"/>
    <w:basedOn w:val="Normal"/>
    <w:next w:val="Normal"/>
    <w:link w:val="Heading5Char"/>
    <w:uiPriority w:val="9"/>
    <w:semiHidden/>
    <w:unhideWhenUsed/>
    <w:qFormat/>
    <w:rsid w:val="00522F05"/>
    <w:pPr>
      <w:outlineLvl w:val="4"/>
    </w:pPr>
    <w:rPr>
      <w:smallCaps/>
      <w:color w:val="7D28CC" w:themeColor="accent6" w:themeShade="BF"/>
      <w:spacing w:val="10"/>
    </w:rPr>
  </w:style>
  <w:style w:type="paragraph" w:styleId="Heading6">
    <w:name w:val="heading 6"/>
    <w:basedOn w:val="Normal"/>
    <w:next w:val="Normal"/>
    <w:link w:val="Heading6Char"/>
    <w:uiPriority w:val="9"/>
    <w:semiHidden/>
    <w:unhideWhenUsed/>
    <w:qFormat/>
    <w:rsid w:val="00522F05"/>
    <w:pPr>
      <w:outlineLvl w:val="5"/>
    </w:pPr>
    <w:rPr>
      <w:smallCaps/>
      <w:color w:val="A666E1" w:themeColor="accent6"/>
      <w:spacing w:val="5"/>
    </w:rPr>
  </w:style>
  <w:style w:type="paragraph" w:styleId="Heading7">
    <w:name w:val="heading 7"/>
    <w:basedOn w:val="Normal"/>
    <w:next w:val="Normal"/>
    <w:link w:val="Heading7Char"/>
    <w:uiPriority w:val="9"/>
    <w:semiHidden/>
    <w:unhideWhenUsed/>
    <w:qFormat/>
    <w:rsid w:val="00522F05"/>
    <w:pPr>
      <w:outlineLvl w:val="6"/>
    </w:pPr>
    <w:rPr>
      <w:b/>
      <w:bCs/>
      <w:smallCaps/>
      <w:color w:val="A666E1" w:themeColor="accent6"/>
      <w:spacing w:val="10"/>
    </w:rPr>
  </w:style>
  <w:style w:type="paragraph" w:styleId="Heading8">
    <w:name w:val="heading 8"/>
    <w:basedOn w:val="Normal"/>
    <w:next w:val="Normal"/>
    <w:link w:val="Heading8Char"/>
    <w:uiPriority w:val="9"/>
    <w:semiHidden/>
    <w:unhideWhenUsed/>
    <w:qFormat/>
    <w:rsid w:val="00522F05"/>
    <w:pPr>
      <w:outlineLvl w:val="7"/>
    </w:pPr>
    <w:rPr>
      <w:b/>
      <w:bCs/>
      <w:i/>
      <w:iCs/>
      <w:smallCaps/>
      <w:color w:val="7D28CC" w:themeColor="accent6" w:themeShade="BF"/>
    </w:rPr>
  </w:style>
  <w:style w:type="paragraph" w:styleId="Heading9">
    <w:name w:val="heading 9"/>
    <w:basedOn w:val="Normal"/>
    <w:next w:val="Normal"/>
    <w:link w:val="Heading9Char"/>
    <w:uiPriority w:val="9"/>
    <w:semiHidden/>
    <w:unhideWhenUsed/>
    <w:qFormat/>
    <w:rsid w:val="00522F05"/>
    <w:pPr>
      <w:outlineLvl w:val="8"/>
    </w:pPr>
    <w:rPr>
      <w:b/>
      <w:bCs/>
      <w:i/>
      <w:iCs/>
      <w:smallCaps/>
      <w:color w:val="531B89"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F05"/>
    <w:rPr>
      <w:smallCaps/>
      <w:spacing w:val="5"/>
      <w:sz w:val="32"/>
      <w:szCs w:val="32"/>
    </w:rPr>
  </w:style>
  <w:style w:type="character" w:customStyle="1" w:styleId="Heading2Char">
    <w:name w:val="Heading 2 Char"/>
    <w:basedOn w:val="DefaultParagraphFont"/>
    <w:link w:val="Heading2"/>
    <w:uiPriority w:val="9"/>
    <w:rsid w:val="00522F05"/>
    <w:rPr>
      <w:smallCaps/>
      <w:spacing w:val="5"/>
      <w:sz w:val="28"/>
      <w:szCs w:val="28"/>
    </w:rPr>
  </w:style>
  <w:style w:type="character" w:customStyle="1" w:styleId="Heading3Char">
    <w:name w:val="Heading 3 Char"/>
    <w:basedOn w:val="DefaultParagraphFont"/>
    <w:link w:val="Heading3"/>
    <w:uiPriority w:val="9"/>
    <w:semiHidden/>
    <w:rsid w:val="00522F05"/>
    <w:rPr>
      <w:smallCaps/>
      <w:spacing w:val="5"/>
      <w:sz w:val="24"/>
      <w:szCs w:val="24"/>
    </w:rPr>
  </w:style>
  <w:style w:type="character" w:customStyle="1" w:styleId="Heading4Char">
    <w:name w:val="Heading 4 Char"/>
    <w:basedOn w:val="DefaultParagraphFont"/>
    <w:link w:val="Heading4"/>
    <w:uiPriority w:val="9"/>
    <w:semiHidden/>
    <w:rsid w:val="00522F05"/>
    <w:rPr>
      <w:i/>
      <w:iCs/>
      <w:smallCaps/>
      <w:spacing w:val="10"/>
      <w:sz w:val="22"/>
      <w:szCs w:val="22"/>
    </w:rPr>
  </w:style>
  <w:style w:type="character" w:customStyle="1" w:styleId="Heading5Char">
    <w:name w:val="Heading 5 Char"/>
    <w:basedOn w:val="DefaultParagraphFont"/>
    <w:link w:val="Heading5"/>
    <w:uiPriority w:val="9"/>
    <w:semiHidden/>
    <w:rsid w:val="00522F05"/>
    <w:rPr>
      <w:smallCaps/>
      <w:color w:val="7D28CC" w:themeColor="accent6" w:themeShade="BF"/>
      <w:spacing w:val="10"/>
      <w:sz w:val="22"/>
      <w:szCs w:val="22"/>
    </w:rPr>
  </w:style>
  <w:style w:type="character" w:customStyle="1" w:styleId="Heading6Char">
    <w:name w:val="Heading 6 Char"/>
    <w:basedOn w:val="DefaultParagraphFont"/>
    <w:link w:val="Heading6"/>
    <w:uiPriority w:val="9"/>
    <w:semiHidden/>
    <w:rsid w:val="00522F05"/>
    <w:rPr>
      <w:smallCaps/>
      <w:color w:val="A666E1" w:themeColor="accent6"/>
      <w:spacing w:val="5"/>
      <w:sz w:val="22"/>
      <w:szCs w:val="22"/>
    </w:rPr>
  </w:style>
  <w:style w:type="character" w:customStyle="1" w:styleId="Heading7Char">
    <w:name w:val="Heading 7 Char"/>
    <w:basedOn w:val="DefaultParagraphFont"/>
    <w:link w:val="Heading7"/>
    <w:uiPriority w:val="9"/>
    <w:semiHidden/>
    <w:rsid w:val="00522F05"/>
    <w:rPr>
      <w:b/>
      <w:bCs/>
      <w:smallCaps/>
      <w:color w:val="A666E1" w:themeColor="accent6"/>
      <w:spacing w:val="10"/>
    </w:rPr>
  </w:style>
  <w:style w:type="character" w:customStyle="1" w:styleId="Heading8Char">
    <w:name w:val="Heading 8 Char"/>
    <w:basedOn w:val="DefaultParagraphFont"/>
    <w:link w:val="Heading8"/>
    <w:uiPriority w:val="9"/>
    <w:semiHidden/>
    <w:rsid w:val="00522F05"/>
    <w:rPr>
      <w:b/>
      <w:bCs/>
      <w:i/>
      <w:iCs/>
      <w:smallCaps/>
      <w:color w:val="7D28CC" w:themeColor="accent6" w:themeShade="BF"/>
    </w:rPr>
  </w:style>
  <w:style w:type="character" w:customStyle="1" w:styleId="Heading9Char">
    <w:name w:val="Heading 9 Char"/>
    <w:basedOn w:val="DefaultParagraphFont"/>
    <w:link w:val="Heading9"/>
    <w:uiPriority w:val="9"/>
    <w:semiHidden/>
    <w:rsid w:val="00522F05"/>
    <w:rPr>
      <w:b/>
      <w:bCs/>
      <w:i/>
      <w:iCs/>
      <w:smallCaps/>
      <w:color w:val="531B89" w:themeColor="accent6" w:themeShade="80"/>
    </w:rPr>
  </w:style>
  <w:style w:type="paragraph" w:styleId="Caption">
    <w:name w:val="caption"/>
    <w:basedOn w:val="Normal"/>
    <w:next w:val="Normal"/>
    <w:uiPriority w:val="35"/>
    <w:semiHidden/>
    <w:unhideWhenUsed/>
    <w:qFormat/>
    <w:rsid w:val="00522F05"/>
    <w:rPr>
      <w:b/>
      <w:bCs/>
      <w:caps/>
      <w:sz w:val="16"/>
      <w:szCs w:val="16"/>
    </w:rPr>
  </w:style>
  <w:style w:type="paragraph" w:styleId="Title">
    <w:name w:val="Title"/>
    <w:basedOn w:val="Normal"/>
    <w:next w:val="Normal"/>
    <w:link w:val="TitleChar"/>
    <w:uiPriority w:val="10"/>
    <w:qFormat/>
    <w:rsid w:val="00522F05"/>
    <w:pPr>
      <w:pBdr>
        <w:top w:val="single" w:sz="8" w:space="1" w:color="A666E1"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522F05"/>
    <w:rPr>
      <w:smallCaps/>
      <w:color w:val="262626" w:themeColor="text1" w:themeTint="D9"/>
      <w:sz w:val="52"/>
      <w:szCs w:val="52"/>
    </w:rPr>
  </w:style>
  <w:style w:type="paragraph" w:styleId="Subtitle">
    <w:name w:val="Subtitle"/>
    <w:basedOn w:val="Normal"/>
    <w:next w:val="Normal"/>
    <w:link w:val="SubtitleChar"/>
    <w:uiPriority w:val="11"/>
    <w:qFormat/>
    <w:rsid w:val="00522F05"/>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22F05"/>
    <w:rPr>
      <w:rFonts w:asciiTheme="majorHAnsi" w:eastAsiaTheme="majorEastAsia" w:hAnsiTheme="majorHAnsi" w:cstheme="majorBidi"/>
    </w:rPr>
  </w:style>
  <w:style w:type="character" w:styleId="Strong">
    <w:name w:val="Strong"/>
    <w:uiPriority w:val="22"/>
    <w:qFormat/>
    <w:rsid w:val="00522F05"/>
    <w:rPr>
      <w:b/>
      <w:bCs/>
      <w:color w:val="A666E1" w:themeColor="accent6"/>
    </w:rPr>
  </w:style>
  <w:style w:type="character" w:styleId="Emphasis">
    <w:name w:val="Emphasis"/>
    <w:uiPriority w:val="20"/>
    <w:qFormat/>
    <w:rsid w:val="00522F05"/>
    <w:rPr>
      <w:b/>
      <w:bCs/>
      <w:i/>
      <w:iCs/>
      <w:spacing w:val="10"/>
    </w:rPr>
  </w:style>
  <w:style w:type="paragraph" w:styleId="NoSpacing">
    <w:name w:val="No Spacing"/>
    <w:uiPriority w:val="1"/>
    <w:qFormat/>
    <w:rsid w:val="00522F05"/>
    <w:pPr>
      <w:spacing w:after="0" w:line="240" w:lineRule="auto"/>
    </w:pPr>
  </w:style>
  <w:style w:type="paragraph" w:styleId="ListParagraph">
    <w:name w:val="List Paragraph"/>
    <w:aliases w:val="List Square"/>
    <w:basedOn w:val="Normal"/>
    <w:uiPriority w:val="34"/>
    <w:qFormat/>
    <w:rsid w:val="00522F05"/>
    <w:pPr>
      <w:ind w:left="720"/>
      <w:contextualSpacing/>
    </w:pPr>
  </w:style>
  <w:style w:type="paragraph" w:styleId="Quote">
    <w:name w:val="Quote"/>
    <w:basedOn w:val="Normal"/>
    <w:next w:val="Normal"/>
    <w:link w:val="QuoteChar"/>
    <w:uiPriority w:val="29"/>
    <w:qFormat/>
    <w:rsid w:val="00522F05"/>
    <w:rPr>
      <w:i/>
      <w:iCs/>
    </w:rPr>
  </w:style>
  <w:style w:type="character" w:customStyle="1" w:styleId="QuoteChar">
    <w:name w:val="Quote Char"/>
    <w:basedOn w:val="DefaultParagraphFont"/>
    <w:link w:val="Quote"/>
    <w:uiPriority w:val="29"/>
    <w:rsid w:val="00522F05"/>
    <w:rPr>
      <w:i/>
      <w:iCs/>
    </w:rPr>
  </w:style>
  <w:style w:type="paragraph" w:styleId="IntenseQuote">
    <w:name w:val="Intense Quote"/>
    <w:basedOn w:val="Normal"/>
    <w:next w:val="Normal"/>
    <w:link w:val="IntenseQuoteChar"/>
    <w:uiPriority w:val="30"/>
    <w:qFormat/>
    <w:rsid w:val="00522F05"/>
    <w:pPr>
      <w:pBdr>
        <w:top w:val="single" w:sz="8" w:space="1" w:color="A666E1"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522F05"/>
    <w:rPr>
      <w:b/>
      <w:bCs/>
      <w:i/>
      <w:iCs/>
    </w:rPr>
  </w:style>
  <w:style w:type="character" w:styleId="SubtleEmphasis">
    <w:name w:val="Subtle Emphasis"/>
    <w:uiPriority w:val="19"/>
    <w:qFormat/>
    <w:rsid w:val="00522F05"/>
    <w:rPr>
      <w:i/>
      <w:iCs/>
    </w:rPr>
  </w:style>
  <w:style w:type="character" w:styleId="IntenseEmphasis">
    <w:name w:val="Intense Emphasis"/>
    <w:uiPriority w:val="21"/>
    <w:qFormat/>
    <w:rsid w:val="00522F05"/>
    <w:rPr>
      <w:b/>
      <w:bCs/>
      <w:i/>
      <w:iCs/>
      <w:color w:val="A666E1" w:themeColor="accent6"/>
      <w:spacing w:val="10"/>
    </w:rPr>
  </w:style>
  <w:style w:type="character" w:styleId="SubtleReference">
    <w:name w:val="Subtle Reference"/>
    <w:uiPriority w:val="31"/>
    <w:qFormat/>
    <w:rsid w:val="00522F05"/>
    <w:rPr>
      <w:b/>
      <w:bCs/>
    </w:rPr>
  </w:style>
  <w:style w:type="character" w:styleId="IntenseReference">
    <w:name w:val="Intense Reference"/>
    <w:uiPriority w:val="32"/>
    <w:qFormat/>
    <w:rsid w:val="00522F05"/>
    <w:rPr>
      <w:b/>
      <w:bCs/>
      <w:smallCaps/>
      <w:spacing w:val="5"/>
      <w:sz w:val="22"/>
      <w:szCs w:val="22"/>
      <w:u w:val="single"/>
    </w:rPr>
  </w:style>
  <w:style w:type="character" w:styleId="BookTitle">
    <w:name w:val="Book Title"/>
    <w:uiPriority w:val="33"/>
    <w:qFormat/>
    <w:rsid w:val="00522F0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22F05"/>
    <w:pPr>
      <w:outlineLvl w:val="9"/>
    </w:pPr>
  </w:style>
  <w:style w:type="table" w:styleId="PlainTable2">
    <w:name w:val="Plain Table 2"/>
    <w:basedOn w:val="TableNormal"/>
    <w:uiPriority w:val="42"/>
    <w:rsid w:val="00A15DD7"/>
    <w:pPr>
      <w:pBdr>
        <w:top w:val="nil"/>
        <w:left w:val="nil"/>
        <w:bottom w:val="nil"/>
        <w:right w:val="nil"/>
        <w:between w:val="nil"/>
      </w:pBdr>
      <w:spacing w:after="0" w:line="240" w:lineRule="auto"/>
      <w:jc w:val="left"/>
    </w:pPr>
    <w:rPr>
      <w:rFonts w:ascii="Arial" w:eastAsia="Arial" w:hAnsi="Arial" w:cs="Arial"/>
      <w:color w:val="000000"/>
      <w:sz w:val="22"/>
      <w:szCs w:val="22"/>
      <w:lang w:val="en-US" w:bidi="th-T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A15DD7"/>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A15DD7"/>
    <w:rPr>
      <w:rFonts w:ascii="Arial" w:eastAsia="Arial" w:hAnsi="Arial" w:cs="Cordia New"/>
      <w:color w:val="000000"/>
      <w:sz w:val="22"/>
      <w:szCs w:val="28"/>
      <w:lang w:val="en-US" w:bidi="th-TH"/>
    </w:rPr>
  </w:style>
  <w:style w:type="table" w:styleId="TableGrid">
    <w:name w:val="Table Grid"/>
    <w:basedOn w:val="TableNormal"/>
    <w:uiPriority w:val="39"/>
    <w:rsid w:val="00A15DD7"/>
    <w:pPr>
      <w:pBdr>
        <w:top w:val="nil"/>
        <w:left w:val="nil"/>
        <w:bottom w:val="nil"/>
        <w:right w:val="nil"/>
        <w:between w:val="nil"/>
      </w:pBdr>
      <w:spacing w:after="0" w:line="240" w:lineRule="auto"/>
      <w:jc w:val="left"/>
    </w:pPr>
    <w:rPr>
      <w:rFonts w:ascii="Arial" w:eastAsia="Arial" w:hAnsi="Arial" w:cs="Arial"/>
      <w:color w:val="000000"/>
      <w:sz w:val="22"/>
      <w:szCs w:val="22"/>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DD7"/>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A15DD7"/>
    <w:rPr>
      <w:rFonts w:ascii="Segoe UI" w:eastAsia="Arial" w:hAnsi="Segoe UI" w:cs="Angsana New"/>
      <w:color w:val="000000"/>
      <w:sz w:val="18"/>
      <w:szCs w:val="22"/>
      <w:lang w:val="en-US" w:bidi="th-TH"/>
    </w:rPr>
  </w:style>
  <w:style w:type="paragraph" w:styleId="Header">
    <w:name w:val="header"/>
    <w:basedOn w:val="Normal"/>
    <w:link w:val="HeaderChar"/>
    <w:uiPriority w:val="99"/>
    <w:unhideWhenUsed/>
    <w:rsid w:val="00A15DD7"/>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A15DD7"/>
    <w:rPr>
      <w:rFonts w:ascii="Arial" w:eastAsia="Arial" w:hAnsi="Arial" w:cs="Cordia New"/>
      <w:color w:val="000000"/>
      <w:sz w:val="22"/>
      <w:szCs w:val="28"/>
      <w:lang w:val="en-US" w:bidi="th-TH"/>
    </w:rPr>
  </w:style>
  <w:style w:type="character" w:styleId="Hyperlink">
    <w:name w:val="Hyperlink"/>
    <w:basedOn w:val="DefaultParagraphFont"/>
    <w:uiPriority w:val="99"/>
    <w:unhideWhenUsed/>
    <w:rsid w:val="0012650B"/>
    <w:rPr>
      <w:color w:val="3085ED" w:themeColor="hyperlink"/>
      <w:u w:val="single"/>
    </w:rPr>
  </w:style>
  <w:style w:type="character" w:customStyle="1" w:styleId="UnresolvedMention1">
    <w:name w:val="Unresolved Mention1"/>
    <w:basedOn w:val="DefaultParagraphFont"/>
    <w:uiPriority w:val="99"/>
    <w:semiHidden/>
    <w:unhideWhenUsed/>
    <w:rsid w:val="0012650B"/>
    <w:rPr>
      <w:color w:val="605E5C"/>
      <w:shd w:val="clear" w:color="auto" w:fill="E1DFDD"/>
    </w:rPr>
  </w:style>
  <w:style w:type="character" w:styleId="CommentReference">
    <w:name w:val="annotation reference"/>
    <w:basedOn w:val="DefaultParagraphFont"/>
    <w:uiPriority w:val="99"/>
    <w:semiHidden/>
    <w:unhideWhenUsed/>
    <w:rsid w:val="00305CB2"/>
    <w:rPr>
      <w:sz w:val="16"/>
      <w:szCs w:val="16"/>
    </w:rPr>
  </w:style>
  <w:style w:type="paragraph" w:styleId="CommentText">
    <w:name w:val="annotation text"/>
    <w:basedOn w:val="Normal"/>
    <w:link w:val="CommentTextChar"/>
    <w:uiPriority w:val="99"/>
    <w:semiHidden/>
    <w:unhideWhenUsed/>
    <w:rsid w:val="00305CB2"/>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sid w:val="00305CB2"/>
    <w:rPr>
      <w:rFonts w:ascii="Arial" w:eastAsia="Arial" w:hAnsi="Arial" w:cs="Cordia New"/>
      <w:color w:val="000000"/>
      <w:szCs w:val="25"/>
      <w:lang w:val="en-US" w:bidi="th-TH"/>
    </w:rPr>
  </w:style>
  <w:style w:type="paragraph" w:styleId="CommentSubject">
    <w:name w:val="annotation subject"/>
    <w:basedOn w:val="CommentText"/>
    <w:next w:val="CommentText"/>
    <w:link w:val="CommentSubjectChar"/>
    <w:uiPriority w:val="99"/>
    <w:semiHidden/>
    <w:unhideWhenUsed/>
    <w:rsid w:val="00305CB2"/>
    <w:rPr>
      <w:b/>
      <w:bCs/>
    </w:rPr>
  </w:style>
  <w:style w:type="character" w:customStyle="1" w:styleId="CommentSubjectChar">
    <w:name w:val="Comment Subject Char"/>
    <w:basedOn w:val="CommentTextChar"/>
    <w:link w:val="CommentSubject"/>
    <w:uiPriority w:val="99"/>
    <w:semiHidden/>
    <w:rsid w:val="00305CB2"/>
    <w:rPr>
      <w:rFonts w:ascii="Arial" w:eastAsia="Arial" w:hAnsi="Arial" w:cs="Cordia New"/>
      <w:b/>
      <w:bCs/>
      <w:color w:val="000000"/>
      <w:szCs w:val="25"/>
      <w:lang w:val="en-US" w:bidi="th-TH"/>
    </w:rPr>
  </w:style>
  <w:style w:type="paragraph" w:styleId="NormalWeb">
    <w:name w:val="Normal (Web)"/>
    <w:basedOn w:val="Normal"/>
    <w:uiPriority w:val="99"/>
    <w:semiHidden/>
    <w:unhideWhenUsed/>
    <w:rsid w:val="00976ED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5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ndianvisaonline.gov.in/evisa/images/SampleForm.pdf" TargetMode="External"/><Relationship Id="rId18" Type="http://schemas.openxmlformats.org/officeDocument/2006/relationships/hyperlink" Target="https://indiankanoon.org/doc/27376/" TargetMode="External"/><Relationship Id="rId26" Type="http://schemas.openxmlformats.org/officeDocument/2006/relationships/hyperlink" Target="https://upload.indiacode.nic.in/showfile?actid=AC_CEN_13_14_00005_201232_1517807323686&amp;type=rule&amp;filename=POCSO%20Rules,%202012%2014-Nov-2012%20(2).pdf" TargetMode="External"/><Relationship Id="rId3" Type="http://schemas.openxmlformats.org/officeDocument/2006/relationships/settings" Target="settings.xml"/><Relationship Id="rId21" Type="http://schemas.openxmlformats.org/officeDocument/2006/relationships/hyperlink" Target="https://www.indiacode.nic.in/bitstream/123456789/1999/3/A2000-21.pdf" TargetMode="External"/><Relationship Id="rId7" Type="http://schemas.openxmlformats.org/officeDocument/2006/relationships/image" Target="media/image1.png"/><Relationship Id="rId12" Type="http://schemas.openxmlformats.org/officeDocument/2006/relationships/hyperlink" Target="https://ecpat.org/wp-content/uploads/2021/09/Assesment-Matrix_2021SEP_ENG_v2.pdf" TargetMode="External"/><Relationship Id="rId17" Type="http://schemas.openxmlformats.org/officeDocument/2006/relationships/hyperlink" Target="https://www.indiacode.nic.in/bitstream/123456789/1440/1/196234.pdf" TargetMode="External"/><Relationship Id="rId25" Type="http://schemas.openxmlformats.org/officeDocument/2006/relationships/hyperlink" Target="https://wcd.nic.in/sites/default/files/Protection%20of%20Children%20From%20Sexual%20Offences%20%28Amendment%29%20Act%2C%202019.pdf" TargetMode="External"/><Relationship Id="rId2" Type="http://schemas.openxmlformats.org/officeDocument/2006/relationships/styles" Target="styles.xml"/><Relationship Id="rId16" Type="http://schemas.openxmlformats.org/officeDocument/2006/relationships/hyperlink" Target="http://legislative.gov.in/sites/default/files/A1974-02.pdf" TargetMode="External"/><Relationship Id="rId20" Type="http://schemas.openxmlformats.org/officeDocument/2006/relationships/hyperlink" Target="http://legislative.gov.in/sites/default/files/A1860-45.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pat.org/wp-content/uploads/2021/08/SECTT-Checklist_ENG_Explanatory-note.pdf" TargetMode="External"/><Relationship Id="rId24" Type="http://schemas.openxmlformats.org/officeDocument/2006/relationships/hyperlink" Target="https://wcd.nic.in/sites/default/files/POCSO%20Act%2C%202012.pdf" TargetMode="External"/><Relationship Id="rId5" Type="http://schemas.openxmlformats.org/officeDocument/2006/relationships/footnotes" Target="footnotes.xml"/><Relationship Id="rId15" Type="http://schemas.openxmlformats.org/officeDocument/2006/relationships/hyperlink" Target="http://tourism.gov.in/sites/default/files/060320111104524_0.pdf" TargetMode="External"/><Relationship Id="rId23" Type="http://schemas.openxmlformats.org/officeDocument/2006/relationships/hyperlink" Target="http://cara.nic.in/PDF/JJ%20act%202015.pdf" TargetMode="External"/><Relationship Id="rId28" Type="http://schemas.openxmlformats.org/officeDocument/2006/relationships/header" Target="header1.xml"/><Relationship Id="rId10" Type="http://schemas.openxmlformats.org/officeDocument/2006/relationships/hyperlink" Target="https://ecpat.org/wp-content/uploads/2021/08/Global-Report-Offenders-on-the-Move.pdf" TargetMode="External"/><Relationship Id="rId19" Type="http://schemas.openxmlformats.org/officeDocument/2006/relationships/hyperlink" Target="http://legislative.gov.in/sites/default/files/A1872-01.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pat.org/wp-content/uploads/2021/09/SECTT-Checklist_ENG-1.pdf" TargetMode="External"/><Relationship Id="rId14" Type="http://schemas.openxmlformats.org/officeDocument/2006/relationships/hyperlink" Target="https://indiankanoon.org/doc/113255681/" TargetMode="External"/><Relationship Id="rId22" Type="http://schemas.openxmlformats.org/officeDocument/2006/relationships/hyperlink" Target="http://legislative.gov.in/sites/default/files/A1956-104.pdf" TargetMode="External"/><Relationship Id="rId27" Type="http://schemas.openxmlformats.org/officeDocument/2006/relationships/hyperlink" Target="http://www.bareactslive.com/ACA/act3646.htm" TargetMode="Externa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3864</Words>
  <Characters>22030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Guncha Sharma</dc:creator>
  <cp:keywords/>
  <dc:description/>
  <cp:lastModifiedBy>Microsoft Office User</cp:lastModifiedBy>
  <cp:revision>11</cp:revision>
  <dcterms:created xsi:type="dcterms:W3CDTF">2021-11-30T05:06:00Z</dcterms:created>
  <dcterms:modified xsi:type="dcterms:W3CDTF">2021-12-01T10:48:00Z</dcterms:modified>
</cp:coreProperties>
</file>