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5133A" w14:textId="48F16BC3" w:rsidR="00852D8E" w:rsidRPr="00852D8E" w:rsidRDefault="00BA6502" w:rsidP="00852D8E">
      <w:pPr>
        <w:rPr>
          <w:rFonts w:asciiTheme="minorHAnsi" w:hAnsiTheme="minorHAnsi" w:cstheme="minorHAnsi"/>
          <w:b/>
          <w:color w:val="136B41"/>
          <w:u w:val="single"/>
          <w:lang w:val="en-GB"/>
        </w:rPr>
      </w:pPr>
      <w:r>
        <w:rPr>
          <w:noProof/>
          <w:lang w:bidi="ar-SA"/>
        </w:rPr>
        <w:drawing>
          <wp:anchor distT="0" distB="0" distL="114300" distR="114300" simplePos="0" relativeHeight="251659264" behindDoc="1" locked="0" layoutInCell="1" allowOverlap="1" wp14:anchorId="17070167" wp14:editId="78E0D925">
            <wp:simplePos x="0" y="0"/>
            <wp:positionH relativeFrom="column">
              <wp:posOffset>6864350</wp:posOffset>
            </wp:positionH>
            <wp:positionV relativeFrom="paragraph">
              <wp:posOffset>0</wp:posOffset>
            </wp:positionV>
            <wp:extent cx="1332865" cy="895350"/>
            <wp:effectExtent l="0" t="0" r="635" b="0"/>
            <wp:wrapTight wrapText="bothSides">
              <wp:wrapPolygon edited="0">
                <wp:start x="0" y="0"/>
                <wp:lineTo x="0" y="21140"/>
                <wp:lineTo x="21302" y="21140"/>
                <wp:lineTo x="213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865" cy="895350"/>
                    </a:xfrm>
                    <a:prstGeom prst="rect">
                      <a:avLst/>
                    </a:prstGeom>
                  </pic:spPr>
                </pic:pic>
              </a:graphicData>
            </a:graphic>
            <wp14:sizeRelH relativeFrom="margin">
              <wp14:pctWidth>0</wp14:pctWidth>
            </wp14:sizeRelH>
            <wp14:sizeRelV relativeFrom="margin">
              <wp14:pctHeight>0</wp14:pctHeight>
            </wp14:sizeRelV>
          </wp:anchor>
        </w:drawing>
      </w:r>
    </w:p>
    <w:p w14:paraId="0C40228E" w14:textId="0C79AEC4" w:rsidR="00BA6502" w:rsidRDefault="00BA6502" w:rsidP="00BA6502">
      <w:pPr>
        <w:jc w:val="both"/>
        <w:rPr>
          <w:rFonts w:eastAsia="Calibri" w:cstheme="minorHAnsi"/>
        </w:rPr>
      </w:pPr>
      <w:r>
        <w:rPr>
          <w:rFonts w:ascii="Calibri-Bold" w:hAnsi="Calibri-Bold" w:cs="Calibri-Bold"/>
          <w:b/>
          <w:bCs/>
          <w:color w:val="02436F"/>
          <w:sz w:val="32"/>
          <w:szCs w:val="32"/>
        </w:rPr>
        <w:t xml:space="preserve"> Indonesia  </w:t>
      </w:r>
    </w:p>
    <w:p w14:paraId="2BAFA455" w14:textId="69E9C9D9" w:rsidR="00BA6502" w:rsidRDefault="00BA6502" w:rsidP="00852D8E">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Theme="minorHAnsi" w:eastAsia="Calibri" w:hAnsiTheme="minorHAnsi" w:cstheme="minorHAnsi"/>
          <w:color w:val="auto"/>
          <w:lang w:bidi="ar-SA"/>
        </w:rPr>
      </w:pPr>
      <w:r>
        <w:rPr>
          <w:rFonts w:asciiTheme="minorHAnsi" w:eastAsia="Calibri" w:hAnsiTheme="minorHAnsi" w:cstheme="minorHAnsi"/>
          <w:noProof/>
          <w:color w:val="auto"/>
          <w:lang w:bidi="ar-SA"/>
        </w:rPr>
        <w:drawing>
          <wp:anchor distT="0" distB="0" distL="114300" distR="114300" simplePos="0" relativeHeight="251658240" behindDoc="1" locked="0" layoutInCell="1" allowOverlap="1" wp14:anchorId="6D8134C8" wp14:editId="3BE1AF6F">
            <wp:simplePos x="0" y="0"/>
            <wp:positionH relativeFrom="column">
              <wp:posOffset>-19050</wp:posOffset>
            </wp:positionH>
            <wp:positionV relativeFrom="paragraph">
              <wp:posOffset>93980</wp:posOffset>
            </wp:positionV>
            <wp:extent cx="2292350" cy="731520"/>
            <wp:effectExtent l="0" t="0" r="0" b="0"/>
            <wp:wrapTight wrapText="bothSides">
              <wp:wrapPolygon edited="0">
                <wp:start x="0" y="0"/>
                <wp:lineTo x="0" y="20813"/>
                <wp:lineTo x="21361" y="20813"/>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p>
    <w:p w14:paraId="0526F782" w14:textId="77777777" w:rsidR="00BA6502" w:rsidRDefault="00BA6502" w:rsidP="00852D8E">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Theme="minorHAnsi" w:eastAsia="Calibri" w:hAnsiTheme="minorHAnsi" w:cstheme="minorHAnsi"/>
          <w:color w:val="auto"/>
          <w:lang w:bidi="ar-SA"/>
        </w:rPr>
      </w:pPr>
    </w:p>
    <w:p w14:paraId="54D0795F" w14:textId="77777777" w:rsidR="00BA6502" w:rsidRDefault="00BA6502" w:rsidP="00852D8E">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Theme="minorHAnsi" w:eastAsia="Calibri" w:hAnsiTheme="minorHAnsi" w:cstheme="minorHAnsi"/>
          <w:color w:val="auto"/>
          <w:lang w:bidi="ar-SA"/>
        </w:rPr>
      </w:pPr>
    </w:p>
    <w:p w14:paraId="4560DD84" w14:textId="77777777" w:rsidR="00BA6502" w:rsidRDefault="00BA6502" w:rsidP="00852D8E">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Theme="minorHAnsi" w:eastAsia="Calibri" w:hAnsiTheme="minorHAnsi" w:cstheme="minorHAnsi"/>
          <w:color w:val="auto"/>
          <w:lang w:bidi="ar-SA"/>
        </w:rPr>
      </w:pPr>
    </w:p>
    <w:p w14:paraId="159C43BE" w14:textId="5CCD2713" w:rsidR="00852D8E" w:rsidRPr="00852D8E" w:rsidRDefault="00852D8E" w:rsidP="00852D8E">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Theme="minorHAnsi" w:eastAsia="Calibri" w:hAnsiTheme="minorHAnsi" w:cstheme="minorHAnsi"/>
          <w:color w:val="auto"/>
          <w:lang w:bidi="ar-SA"/>
        </w:rPr>
      </w:pPr>
      <w:r w:rsidRPr="00852D8E">
        <w:rPr>
          <w:rFonts w:asciiTheme="minorHAnsi" w:eastAsia="Calibri" w:hAnsiTheme="minorHAnsi" w:cstheme="minorHAnsi"/>
          <w:color w:val="auto"/>
          <w:lang w:bidi="ar-SA"/>
        </w:rPr>
        <w:t xml:space="preserve">ECPAT International has developed </w:t>
      </w:r>
      <w:hyperlink r:id="rId9" w:history="1">
        <w:r w:rsidRPr="00852D8E">
          <w:rPr>
            <w:rFonts w:asciiTheme="minorHAnsi" w:eastAsia="Calibri" w:hAnsiTheme="minorHAnsi" w:cstheme="minorHAnsi"/>
            <w:color w:val="0563C1"/>
            <w:u w:val="single"/>
            <w:lang w:bidi="ar-SA"/>
          </w:rPr>
          <w:t>a legal checklist</w:t>
        </w:r>
      </w:hyperlink>
      <w:r w:rsidRPr="00852D8E">
        <w:rPr>
          <w:rFonts w:asciiTheme="minorHAnsi" w:eastAsia="Calibri" w:hAnsiTheme="minorHAnsi" w:cstheme="minorHAnsi"/>
          <w:color w:val="auto"/>
          <w:lang w:bidi="ar-SA"/>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26DF8AFE" w14:textId="77777777" w:rsidR="00852D8E" w:rsidRPr="00852D8E" w:rsidRDefault="00852D8E" w:rsidP="00852D8E">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Theme="minorHAnsi" w:eastAsia="Calibri" w:hAnsiTheme="minorHAnsi" w:cstheme="minorHAnsi"/>
          <w:color w:val="auto"/>
          <w:lang w:bidi="ar-SA"/>
        </w:rPr>
      </w:pPr>
      <w:r w:rsidRPr="00852D8E">
        <w:rPr>
          <w:rFonts w:asciiTheme="minorHAnsi" w:eastAsia="Calibri" w:hAnsiTheme="minorHAnsi" w:cstheme="minorHAnsi"/>
          <w:color w:val="auto"/>
          <w:lang w:bidi="ar-SA"/>
        </w:rPr>
        <w:t xml:space="preserve">The legal checklist was developed based on the recommendations of the first </w:t>
      </w:r>
      <w:hyperlink r:id="rId10" w:history="1">
        <w:r w:rsidRPr="00852D8E">
          <w:rPr>
            <w:rFonts w:asciiTheme="minorHAnsi" w:eastAsia="Calibri" w:hAnsiTheme="minorHAnsi" w:cstheme="minorHAnsi"/>
            <w:color w:val="0563C1" w:themeColor="hyperlink"/>
            <w:u w:val="single"/>
            <w:lang w:bidi="ar-SA"/>
          </w:rPr>
          <w:t>Global Study</w:t>
        </w:r>
      </w:hyperlink>
      <w:r w:rsidRPr="00852D8E">
        <w:rPr>
          <w:rFonts w:asciiTheme="minorHAnsi" w:eastAsia="Calibri" w:hAnsiTheme="minorHAnsi" w:cstheme="minorHAnsi"/>
          <w:color w:val="auto"/>
          <w:lang w:bidi="ar-SA"/>
        </w:rPr>
        <w:t xml:space="preserve"> on sexual exploitation of children in the context of travel and tourism. Following the development of this legal checklist, ECPAT International conducted country legal analysis for </w:t>
      </w:r>
      <w:r>
        <w:rPr>
          <w:rFonts w:asciiTheme="minorHAnsi" w:eastAsia="Calibri" w:hAnsiTheme="minorHAnsi" w:cstheme="minorHAnsi"/>
          <w:color w:val="auto"/>
          <w:lang w:bidi="ar-SA"/>
        </w:rPr>
        <w:t>Indonesia</w:t>
      </w:r>
      <w:r w:rsidRPr="00852D8E">
        <w:rPr>
          <w:rFonts w:asciiTheme="minorHAnsi" w:eastAsia="Calibri" w:hAnsiTheme="minorHAnsi" w:cstheme="minorHAnsi"/>
          <w:color w:val="auto"/>
          <w:lang w:bidi="ar-SA"/>
        </w:rPr>
        <w:t xml:space="preserve"> and other countries in Southeast Asia, as well as Africa, Asia and the Americas. </w:t>
      </w:r>
    </w:p>
    <w:p w14:paraId="68E40A3D" w14:textId="77777777" w:rsidR="00852D8E" w:rsidRPr="00852D8E" w:rsidRDefault="00852D8E" w:rsidP="00852D8E">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Theme="minorHAnsi" w:eastAsia="Calibri" w:hAnsiTheme="minorHAnsi" w:cstheme="minorHAnsi"/>
          <w:color w:val="auto"/>
          <w:lang w:bidi="ar-SA"/>
        </w:rPr>
      </w:pPr>
      <w:r w:rsidRPr="00852D8E">
        <w:rPr>
          <w:rFonts w:asciiTheme="minorHAnsi" w:eastAsia="Calibri" w:hAnsiTheme="minorHAnsi" w:cstheme="minorHAnsi"/>
          <w:color w:val="auto"/>
          <w:lang w:bidi="ar-SA"/>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0F69A972" w14:textId="77777777" w:rsidR="00852D8E" w:rsidRPr="00852D8E" w:rsidRDefault="00852D8E" w:rsidP="00852D8E">
      <w:pPr>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asciiTheme="minorHAnsi" w:eastAsia="Calibri" w:hAnsiTheme="minorHAnsi" w:cstheme="minorHAnsi"/>
          <w:color w:val="auto"/>
          <w:lang w:bidi="ar-SA"/>
        </w:rPr>
      </w:pPr>
      <w:r w:rsidRPr="00852D8E">
        <w:rPr>
          <w:rFonts w:asciiTheme="minorHAnsi" w:eastAsia="Calibri" w:hAnsiTheme="minorHAnsi" w:cstheme="minorHAnsi"/>
          <w:color w:val="auto"/>
          <w:lang w:bidi="ar-SA"/>
        </w:rPr>
        <w:t xml:space="preserve">The table below allows easy assessment of existing legislation against the 24 measures of the legal checklist. It will be updated as the laws and policies change. An </w:t>
      </w:r>
      <w:hyperlink r:id="rId11" w:history="1">
        <w:r w:rsidRPr="00852D8E">
          <w:rPr>
            <w:rFonts w:asciiTheme="minorHAnsi" w:eastAsia="Calibri" w:hAnsiTheme="minorHAnsi" w:cstheme="minorHAnsi"/>
            <w:color w:val="0563C1"/>
            <w:u w:val="single"/>
            <w:lang w:bidi="ar-SA"/>
          </w:rPr>
          <w:t>explanatory note</w:t>
        </w:r>
      </w:hyperlink>
      <w:r w:rsidRPr="00852D8E">
        <w:rPr>
          <w:rFonts w:asciiTheme="minorHAnsi" w:eastAsia="Calibri" w:hAnsiTheme="minorHAnsi" w:cstheme="minorHAnsi"/>
          <w:color w:val="auto"/>
          <w:lang w:bidi="ar-SA"/>
        </w:rPr>
        <w:t xml:space="preserve"> and an </w:t>
      </w:r>
      <w:hyperlink r:id="rId12" w:history="1">
        <w:r w:rsidRPr="00852D8E">
          <w:rPr>
            <w:rFonts w:asciiTheme="minorHAnsi" w:eastAsia="Calibri" w:hAnsiTheme="minorHAnsi" w:cstheme="minorHAnsi"/>
            <w:color w:val="0563C1"/>
            <w:u w:val="single"/>
            <w:lang w:bidi="ar-SA"/>
          </w:rPr>
          <w:t>assessment matrix</w:t>
        </w:r>
      </w:hyperlink>
      <w:r w:rsidRPr="00852D8E">
        <w:rPr>
          <w:rFonts w:asciiTheme="minorHAnsi" w:eastAsia="Calibri" w:hAnsiTheme="minorHAnsi" w:cstheme="minorHAnsi"/>
          <w:color w:val="auto"/>
          <w:lang w:bidi="ar-SA"/>
        </w:rPr>
        <w:t xml:space="preserve"> can be consulted for further reference.</w:t>
      </w:r>
    </w:p>
    <w:p w14:paraId="63962160" w14:textId="77777777" w:rsidR="00852D8E" w:rsidRPr="00852D8E" w:rsidRDefault="00852D8E" w:rsidP="00852D8E"/>
    <w:p w14:paraId="118B4B1A" w14:textId="77777777" w:rsidR="00852D8E" w:rsidRPr="00852D8E" w:rsidRDefault="00852D8E" w:rsidP="00852D8E">
      <w:pPr>
        <w:rPr>
          <w:rFonts w:asciiTheme="minorHAnsi" w:hAnsiTheme="minorHAnsi" w:cstheme="minorHAnsi"/>
          <w:b/>
          <w:color w:val="136B41"/>
          <w:u w:val="single"/>
          <w:lang w:val="en-GB"/>
        </w:rPr>
      </w:pPr>
    </w:p>
    <w:tbl>
      <w:tblPr>
        <w:tblStyle w:val="PlainTable2"/>
        <w:tblW w:w="1346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8"/>
        <w:gridCol w:w="5745"/>
        <w:gridCol w:w="1605"/>
        <w:gridCol w:w="5544"/>
      </w:tblGrid>
      <w:tr w:rsidR="00852D8E" w:rsidRPr="00852D8E" w14:paraId="27B169B8" w14:textId="77777777" w:rsidTr="00863165">
        <w:trPr>
          <w:trHeight w:val="144"/>
        </w:trPr>
        <w:tc>
          <w:tcPr>
            <w:tcW w:w="568" w:type="dxa"/>
          </w:tcPr>
          <w:p w14:paraId="27CCD527" w14:textId="77777777" w:rsidR="00852D8E" w:rsidRPr="00852D8E" w:rsidRDefault="00852D8E" w:rsidP="00D70534">
            <w:pPr>
              <w:spacing w:after="160"/>
              <w:rPr>
                <w:rFonts w:asciiTheme="minorHAnsi" w:hAnsiTheme="minorHAnsi" w:cstheme="minorHAnsi"/>
                <w:b/>
                <w:color w:val="auto"/>
                <w:lang w:val="en-GB"/>
              </w:rPr>
            </w:pPr>
          </w:p>
        </w:tc>
        <w:tc>
          <w:tcPr>
            <w:tcW w:w="5745" w:type="dxa"/>
          </w:tcPr>
          <w:p w14:paraId="7819EF30" w14:textId="77777777" w:rsidR="00852D8E" w:rsidRPr="00852D8E" w:rsidRDefault="00852D8E" w:rsidP="00D70534">
            <w:pPr>
              <w:spacing w:after="160"/>
              <w:rPr>
                <w:rFonts w:asciiTheme="minorHAnsi" w:hAnsiTheme="minorHAnsi" w:cstheme="minorHAnsi"/>
                <w:b/>
                <w:color w:val="auto"/>
                <w:lang w:val="en-GB"/>
              </w:rPr>
            </w:pPr>
            <w:r w:rsidRPr="00852D8E">
              <w:rPr>
                <w:rFonts w:asciiTheme="minorHAnsi" w:hAnsiTheme="minorHAnsi" w:cstheme="minorHAnsi"/>
                <w:b/>
                <w:color w:val="auto"/>
                <w:lang w:val="en-GB"/>
              </w:rPr>
              <w:t>Recommendations</w:t>
            </w:r>
          </w:p>
        </w:tc>
        <w:tc>
          <w:tcPr>
            <w:tcW w:w="1605" w:type="dxa"/>
          </w:tcPr>
          <w:p w14:paraId="15FA0338" w14:textId="77777777" w:rsidR="00852D8E" w:rsidRPr="00852D8E" w:rsidRDefault="00852D8E" w:rsidP="00D70534">
            <w:pPr>
              <w:rPr>
                <w:rFonts w:asciiTheme="minorHAnsi" w:hAnsiTheme="minorHAnsi" w:cstheme="minorHAnsi"/>
                <w:b/>
                <w:color w:val="auto"/>
                <w:lang w:val="en-GB"/>
              </w:rPr>
            </w:pPr>
            <w:r w:rsidRPr="00852D8E">
              <w:rPr>
                <w:rFonts w:asciiTheme="minorHAnsi" w:hAnsiTheme="minorHAnsi" w:cstheme="minorHAnsi"/>
                <w:b/>
                <w:color w:val="auto"/>
                <w:lang w:val="en-GB"/>
              </w:rPr>
              <w:t>Implemented</w:t>
            </w:r>
          </w:p>
        </w:tc>
        <w:tc>
          <w:tcPr>
            <w:tcW w:w="5544" w:type="dxa"/>
          </w:tcPr>
          <w:p w14:paraId="335A3BB5" w14:textId="77777777" w:rsidR="00852D8E" w:rsidRPr="00852D8E" w:rsidRDefault="00852D8E" w:rsidP="00D70534">
            <w:pPr>
              <w:rPr>
                <w:rFonts w:asciiTheme="minorHAnsi" w:hAnsiTheme="minorHAnsi" w:cstheme="minorHAnsi"/>
                <w:b/>
                <w:color w:val="auto"/>
                <w:lang w:val="en-GB"/>
              </w:rPr>
            </w:pPr>
            <w:r w:rsidRPr="00852D8E">
              <w:rPr>
                <w:rFonts w:asciiTheme="minorHAnsi" w:hAnsiTheme="minorHAnsi" w:cstheme="minorHAnsi"/>
                <w:b/>
                <w:color w:val="auto"/>
                <w:lang w:val="en-GB"/>
              </w:rPr>
              <w:t>Legislation</w:t>
            </w:r>
          </w:p>
        </w:tc>
      </w:tr>
      <w:tr w:rsidR="00852D8E" w:rsidRPr="00852D8E" w14:paraId="52BA3531" w14:textId="77777777" w:rsidTr="00863165">
        <w:trPr>
          <w:trHeight w:val="864"/>
        </w:trPr>
        <w:tc>
          <w:tcPr>
            <w:tcW w:w="568" w:type="dxa"/>
          </w:tcPr>
          <w:p w14:paraId="5C317EF3" w14:textId="77777777" w:rsidR="00852D8E" w:rsidRPr="00852D8E" w:rsidRDefault="00852D8E" w:rsidP="00852D8E">
            <w:pPr>
              <w:pStyle w:val="ListParagraph"/>
              <w:numPr>
                <w:ilvl w:val="0"/>
                <w:numId w:val="2"/>
              </w:numPr>
              <w:spacing w:after="160" w:line="240" w:lineRule="auto"/>
              <w:rPr>
                <w:rFonts w:asciiTheme="minorHAnsi" w:hAnsiTheme="minorHAnsi" w:cstheme="minorHAnsi"/>
                <w:lang w:val="en-GB"/>
              </w:rPr>
            </w:pPr>
          </w:p>
        </w:tc>
        <w:tc>
          <w:tcPr>
            <w:tcW w:w="5745" w:type="dxa"/>
          </w:tcPr>
          <w:p w14:paraId="71E01893" w14:textId="77777777" w:rsidR="00852D8E" w:rsidRPr="00852D8E" w:rsidRDefault="007F61F6" w:rsidP="00D70534">
            <w:pPr>
              <w:spacing w:after="160"/>
              <w:rPr>
                <w:rFonts w:asciiTheme="minorHAnsi" w:hAnsiTheme="minorHAnsi" w:cstheme="minorHAnsi"/>
                <w:lang w:val="en-GB"/>
              </w:rPr>
            </w:pPr>
            <w:r w:rsidRPr="00680020">
              <w:rPr>
                <w:rFonts w:asciiTheme="minorHAnsi" w:eastAsia="Calibri" w:hAnsiTheme="minorHAnsi" w:cstheme="minorHAnsi"/>
              </w:rPr>
              <w:t xml:space="preserve">Establish by law </w:t>
            </w:r>
            <w:r w:rsidRPr="00680020">
              <w:rPr>
                <w:rFonts w:asciiTheme="minorHAnsi" w:eastAsia="Calibri" w:hAnsiTheme="minorHAnsi" w:cstheme="minorHAnsi"/>
                <w:b/>
              </w:rPr>
              <w:t>extra-territorial jurisdiction</w:t>
            </w:r>
            <w:r w:rsidRPr="00680020">
              <w:rPr>
                <w:rFonts w:asciiTheme="minorHAnsi" w:eastAsia="Calibri" w:hAnsiTheme="minorHAnsi" w:cstheme="minorHAnsi"/>
              </w:rPr>
              <w:t>,  within the parameters of Article 4 OPSC,  for all offences of sexual exploitation of children, including those occurring in the online environment.</w:t>
            </w:r>
          </w:p>
        </w:tc>
        <w:tc>
          <w:tcPr>
            <w:tcW w:w="1605" w:type="dxa"/>
          </w:tcPr>
          <w:p w14:paraId="3D1BB99C" w14:textId="77777777" w:rsidR="00852D8E" w:rsidRPr="00863165" w:rsidRDefault="007F61F6" w:rsidP="00D70534">
            <w:pPr>
              <w:rPr>
                <w:rFonts w:asciiTheme="minorHAnsi" w:hAnsiTheme="minorHAnsi" w:cstheme="minorHAnsi"/>
                <w:bCs/>
                <w:color w:val="000000" w:themeColor="text1"/>
                <w:lang w:val="en-GB"/>
              </w:rPr>
            </w:pPr>
            <w:r w:rsidRPr="00863165">
              <w:rPr>
                <w:rFonts w:ascii="Calibri" w:hAnsi="Calibri" w:cs="Calibri"/>
                <w:b/>
                <w:color w:val="000000" w:themeColor="text1"/>
                <w:lang w:val="en-GB"/>
              </w:rPr>
              <w:t>Partially</w:t>
            </w:r>
          </w:p>
        </w:tc>
        <w:tc>
          <w:tcPr>
            <w:tcW w:w="5544" w:type="dxa"/>
          </w:tcPr>
          <w:p w14:paraId="6BAC7966" w14:textId="77777777" w:rsidR="00852D8E" w:rsidRPr="00852D8E" w:rsidRDefault="007F61F6" w:rsidP="00D70534">
            <w:pPr>
              <w:rPr>
                <w:rFonts w:asciiTheme="minorHAnsi" w:hAnsiTheme="minorHAnsi" w:cstheme="minorHAnsi"/>
                <w:lang w:val="en-GB"/>
              </w:rPr>
            </w:pPr>
            <w:r w:rsidRPr="007F61F6">
              <w:rPr>
                <w:rFonts w:asciiTheme="minorHAnsi" w:hAnsiTheme="minorHAnsi" w:cstheme="minorHAnsi"/>
                <w:lang w:val="en-GB"/>
              </w:rPr>
              <w:t>Article 5 of the Criminal Code establishes jurisdiction over any offence or illegal conduct committed abroad by an Indonesian national (active extraterritorial jurisdiction), as long as it is also considered a crime</w:t>
            </w:r>
            <w:r>
              <w:rPr>
                <w:rFonts w:asciiTheme="minorHAnsi" w:hAnsiTheme="minorHAnsi" w:cstheme="minorHAnsi"/>
                <w:lang w:val="en-GB"/>
              </w:rPr>
              <w:t xml:space="preserve"> in the country where it occurs</w:t>
            </w:r>
            <w:r w:rsidRPr="007F61F6">
              <w:rPr>
                <w:rFonts w:asciiTheme="minorHAnsi" w:hAnsiTheme="minorHAnsi" w:cstheme="minorHAnsi"/>
                <w:lang w:val="en-GB"/>
              </w:rPr>
              <w:t xml:space="preserve"> (double criminality principle). In addition, Article 9 of the same text declares that restrictions on jurisdiction </w:t>
            </w:r>
            <w:r w:rsidRPr="007F61F6">
              <w:rPr>
                <w:rFonts w:asciiTheme="minorHAnsi" w:hAnsiTheme="minorHAnsi" w:cstheme="minorHAnsi"/>
                <w:lang w:val="en-GB"/>
              </w:rPr>
              <w:lastRenderedPageBreak/>
              <w:t>are subject to international law.  In view of article 5, it can be assumed that Indonesia is only partially in line with OPSC obligations, as the country does not explicitly recognise extraterritorial jurisdiction over child sexual exploitation offences in the additional circumstances listed under the OPSC, namely, where the relevant offence is committed by habitual residents, and over OPSC crimes committed against victims of Indonesian nationality (passive extraterritorial jurisdiction).</w:t>
            </w:r>
          </w:p>
        </w:tc>
      </w:tr>
      <w:tr w:rsidR="00852D8E" w:rsidRPr="00852D8E" w14:paraId="21481F2B" w14:textId="77777777" w:rsidTr="00863165">
        <w:trPr>
          <w:trHeight w:val="864"/>
        </w:trPr>
        <w:tc>
          <w:tcPr>
            <w:tcW w:w="568" w:type="dxa"/>
          </w:tcPr>
          <w:p w14:paraId="4C976B72" w14:textId="77777777" w:rsidR="00852D8E" w:rsidRPr="00852D8E" w:rsidRDefault="00852D8E" w:rsidP="00852D8E">
            <w:pPr>
              <w:pStyle w:val="ListParagraph"/>
              <w:numPr>
                <w:ilvl w:val="0"/>
                <w:numId w:val="2"/>
              </w:numPr>
              <w:spacing w:after="160" w:line="240" w:lineRule="auto"/>
              <w:rPr>
                <w:rFonts w:asciiTheme="minorHAnsi" w:hAnsiTheme="minorHAnsi" w:cstheme="minorHAnsi"/>
                <w:lang w:val="en-GB"/>
              </w:rPr>
            </w:pPr>
          </w:p>
        </w:tc>
        <w:tc>
          <w:tcPr>
            <w:tcW w:w="5745" w:type="dxa"/>
          </w:tcPr>
          <w:p w14:paraId="6801DBAA" w14:textId="77777777" w:rsidR="00852D8E" w:rsidRPr="00852D8E" w:rsidRDefault="007F61F6" w:rsidP="00D70534">
            <w:pPr>
              <w:spacing w:after="160"/>
              <w:rPr>
                <w:rFonts w:asciiTheme="minorHAnsi" w:hAnsiTheme="minorHAnsi" w:cstheme="minorHAnsi"/>
                <w:lang w:val="en-GB"/>
              </w:rPr>
            </w:pPr>
            <w:r w:rsidRPr="00680020">
              <w:rPr>
                <w:rFonts w:asciiTheme="minorHAnsi" w:eastAsia="Calibri" w:hAnsiTheme="minorHAnsi" w:cstheme="minorHAnsi"/>
              </w:rPr>
              <w:t xml:space="preserve">Include in extradition treaties the sexual exploitation of children as </w:t>
            </w:r>
            <w:r w:rsidRPr="00680020">
              <w:rPr>
                <w:rFonts w:asciiTheme="minorHAnsi" w:eastAsia="Calibri" w:hAnsiTheme="minorHAnsi" w:cstheme="minorHAnsi"/>
                <w:b/>
              </w:rPr>
              <w:t>extraditable offences</w:t>
            </w:r>
            <w:r w:rsidRPr="00680020">
              <w:rPr>
                <w:rFonts w:asciiTheme="minorHAnsi" w:eastAsia="Calibri" w:hAnsiTheme="minorHAnsi" w:cstheme="minorHAnsi"/>
              </w:rPr>
              <w:t xml:space="preserve">  and apply when appropriate the rules of article 5 OPSC,  regardless the nationality of the (alleged) offender.</w:t>
            </w:r>
          </w:p>
        </w:tc>
        <w:tc>
          <w:tcPr>
            <w:tcW w:w="1605" w:type="dxa"/>
          </w:tcPr>
          <w:p w14:paraId="2A54EE23" w14:textId="77777777" w:rsidR="00852D8E" w:rsidRPr="00863165" w:rsidRDefault="007F61F6" w:rsidP="00D70534">
            <w:pPr>
              <w:rPr>
                <w:rFonts w:asciiTheme="minorHAnsi" w:hAnsiTheme="minorHAnsi" w:cstheme="minorHAnsi"/>
                <w:b/>
                <w:bCs/>
                <w:color w:val="000000" w:themeColor="text1"/>
                <w:lang w:val="en-GB"/>
              </w:rPr>
            </w:pPr>
            <w:r w:rsidRPr="00863165">
              <w:rPr>
                <w:rFonts w:ascii="Calibri" w:hAnsi="Calibri" w:cs="Calibri"/>
                <w:b/>
                <w:color w:val="000000" w:themeColor="text1"/>
                <w:lang w:val="en-GB"/>
              </w:rPr>
              <w:t>Partially</w:t>
            </w:r>
          </w:p>
        </w:tc>
        <w:tc>
          <w:tcPr>
            <w:tcW w:w="5544" w:type="dxa"/>
          </w:tcPr>
          <w:p w14:paraId="17408557" w14:textId="77777777" w:rsidR="00852D8E" w:rsidRPr="00852D8E" w:rsidRDefault="00852D8E" w:rsidP="00D70534">
            <w:pPr>
              <w:rPr>
                <w:rFonts w:asciiTheme="minorHAnsi" w:hAnsiTheme="minorHAnsi" w:cstheme="minorHAnsi"/>
                <w:lang w:val="en-GB"/>
              </w:rPr>
            </w:pPr>
            <w:r w:rsidRPr="00852D8E">
              <w:rPr>
                <w:rFonts w:asciiTheme="minorHAnsi" w:hAnsiTheme="minorHAnsi" w:cstheme="minorHAnsi"/>
                <w:lang w:val="en-GB"/>
              </w:rPr>
              <w:t>Indonesia’s rules on extradition can be found in the Extradition Law (1979). Article 2 specifies that extradition must be treaty-based or otherwise be granted in accordance with national interests. Furthermore, article 4 establishes the possibility of extraditing offenders for crimes on the “</w:t>
            </w:r>
            <w:r w:rsidRPr="00852D8E">
              <w:rPr>
                <w:rFonts w:asciiTheme="minorHAnsi" w:hAnsiTheme="minorHAnsi" w:cstheme="minorHAnsi"/>
                <w:i/>
                <w:lang w:val="en-GB"/>
              </w:rPr>
              <w:t>List of extraditable crimes</w:t>
            </w:r>
            <w:r w:rsidRPr="00852D8E">
              <w:rPr>
                <w:rFonts w:asciiTheme="minorHAnsi" w:hAnsiTheme="minorHAnsi" w:cstheme="minorHAnsi"/>
                <w:lang w:val="en-GB"/>
              </w:rPr>
              <w:t>” and for other crimes, at the discretion of the requesting State. Amongst the extraditable offences, the list refers to rape or sexual assault; procuring, or trafficking in, women and young persons for immoral purposes; living on the earnings of prostitution; any other offence against the law relating to prostitution; aiding, abetting, counselling or procuring the commission of, being an accessory before or after the fact to, or attempting or conspiring to commit, an offence described in a preceding item. It is however important to note that the principle is that a request for the extradition of a national of the Republic of Indonesia shall be refused (Article 7) and Indonesia may refuse to grant extradition if the crime is committed wholly or in part in national territory (article 8).</w:t>
            </w:r>
          </w:p>
        </w:tc>
      </w:tr>
      <w:tr w:rsidR="00852D8E" w:rsidRPr="00852D8E" w14:paraId="79C2011D" w14:textId="77777777" w:rsidTr="00863165">
        <w:trPr>
          <w:trHeight w:val="288"/>
        </w:trPr>
        <w:tc>
          <w:tcPr>
            <w:tcW w:w="568" w:type="dxa"/>
          </w:tcPr>
          <w:p w14:paraId="66E06FD0" w14:textId="77777777" w:rsidR="00852D8E" w:rsidRPr="00852D8E" w:rsidRDefault="00852D8E" w:rsidP="00852D8E">
            <w:pPr>
              <w:pStyle w:val="ListParagraph"/>
              <w:numPr>
                <w:ilvl w:val="0"/>
                <w:numId w:val="2"/>
              </w:numPr>
              <w:spacing w:after="160" w:line="240" w:lineRule="auto"/>
              <w:rPr>
                <w:rFonts w:asciiTheme="minorHAnsi" w:hAnsiTheme="minorHAnsi" w:cstheme="minorHAnsi"/>
                <w:lang w:val="en-GB"/>
              </w:rPr>
            </w:pPr>
          </w:p>
        </w:tc>
        <w:tc>
          <w:tcPr>
            <w:tcW w:w="5745" w:type="dxa"/>
          </w:tcPr>
          <w:p w14:paraId="4B2E6B6F" w14:textId="77777777" w:rsidR="00852D8E" w:rsidRPr="00852D8E" w:rsidRDefault="00A07D56" w:rsidP="00D70534">
            <w:pPr>
              <w:spacing w:after="160"/>
              <w:rPr>
                <w:rFonts w:asciiTheme="minorHAnsi" w:hAnsiTheme="minorHAnsi" w:cstheme="minorHAnsi"/>
                <w:lang w:val="en-GB"/>
              </w:rPr>
            </w:pPr>
            <w:r w:rsidRPr="00680020">
              <w:rPr>
                <w:rFonts w:asciiTheme="minorHAnsi" w:eastAsia="Calibri" w:hAnsiTheme="minorHAnsi" w:cstheme="minorHAnsi"/>
              </w:rPr>
              <w:t xml:space="preserve">Do NOT require the principle of </w:t>
            </w:r>
            <w:r w:rsidRPr="00680020">
              <w:rPr>
                <w:rFonts w:asciiTheme="minorHAnsi" w:eastAsia="Calibri" w:hAnsiTheme="minorHAnsi" w:cstheme="minorHAnsi"/>
                <w:b/>
              </w:rPr>
              <w:t>double criminality</w:t>
            </w:r>
            <w:r w:rsidRPr="00680020">
              <w:rPr>
                <w:rFonts w:asciiTheme="minorHAnsi" w:eastAsia="Calibri" w:hAnsiTheme="minorHAnsi" w:cstheme="minorHAnsi"/>
              </w:rPr>
              <w:t xml:space="preserve">  for proceeding with extraterritorial jurisdiction or extradition for sexual offences against children.</w:t>
            </w:r>
          </w:p>
        </w:tc>
        <w:tc>
          <w:tcPr>
            <w:tcW w:w="1605" w:type="dxa"/>
          </w:tcPr>
          <w:p w14:paraId="4EDC583E" w14:textId="77777777" w:rsidR="00852D8E" w:rsidRPr="00863165" w:rsidRDefault="00852D8E" w:rsidP="00D70534">
            <w:pPr>
              <w:rPr>
                <w:rFonts w:asciiTheme="minorHAnsi" w:hAnsiTheme="minorHAnsi" w:cstheme="minorHAnsi"/>
                <w:color w:val="000000" w:themeColor="text1"/>
                <w:lang w:val="en-GB"/>
              </w:rPr>
            </w:pPr>
            <w:r w:rsidRPr="00863165">
              <w:rPr>
                <w:rFonts w:asciiTheme="minorHAnsi" w:hAnsiTheme="minorHAnsi" w:cstheme="minorHAnsi"/>
                <w:color w:val="000000" w:themeColor="text1"/>
                <w:lang w:val="en-GB"/>
              </w:rPr>
              <w:t xml:space="preserve"> </w:t>
            </w:r>
            <w:r w:rsidRPr="00863165">
              <w:rPr>
                <w:rFonts w:asciiTheme="minorHAnsi" w:eastAsia="Times New Roman" w:hAnsiTheme="minorHAnsi" w:cstheme="minorHAnsi"/>
                <w:b/>
                <w:color w:val="000000" w:themeColor="text1"/>
                <w:lang w:val="en-GB"/>
              </w:rPr>
              <w:t>No</w:t>
            </w:r>
          </w:p>
        </w:tc>
        <w:tc>
          <w:tcPr>
            <w:tcW w:w="5544" w:type="dxa"/>
          </w:tcPr>
          <w:p w14:paraId="763210F8" w14:textId="77777777" w:rsidR="00852D8E" w:rsidRPr="00852D8E" w:rsidRDefault="00852D8E" w:rsidP="00D70534">
            <w:pPr>
              <w:rPr>
                <w:rFonts w:asciiTheme="minorHAnsi" w:hAnsiTheme="minorHAnsi" w:cstheme="minorHAnsi"/>
                <w:lang w:val="en-GB"/>
              </w:rPr>
            </w:pPr>
            <w:r w:rsidRPr="00852D8E">
              <w:rPr>
                <w:rFonts w:asciiTheme="minorHAnsi" w:hAnsiTheme="minorHAnsi" w:cstheme="minorHAnsi"/>
                <w:lang w:val="en-GB"/>
              </w:rPr>
              <w:t>See above under 1</w:t>
            </w:r>
            <w:r w:rsidR="00A07D56">
              <w:rPr>
                <w:rFonts w:asciiTheme="minorHAnsi" w:hAnsiTheme="minorHAnsi" w:cstheme="minorHAnsi"/>
                <w:lang w:val="en-GB"/>
              </w:rPr>
              <w:t xml:space="preserve"> and 2</w:t>
            </w:r>
          </w:p>
        </w:tc>
      </w:tr>
      <w:tr w:rsidR="00852D8E" w:rsidRPr="00852D8E" w14:paraId="425044CB" w14:textId="77777777" w:rsidTr="00863165">
        <w:trPr>
          <w:trHeight w:val="288"/>
        </w:trPr>
        <w:tc>
          <w:tcPr>
            <w:tcW w:w="568" w:type="dxa"/>
          </w:tcPr>
          <w:p w14:paraId="22B19BAA" w14:textId="77777777" w:rsidR="00852D8E" w:rsidRPr="00852D8E" w:rsidRDefault="00852D8E" w:rsidP="00852D8E">
            <w:pPr>
              <w:pStyle w:val="ListParagraph"/>
              <w:numPr>
                <w:ilvl w:val="0"/>
                <w:numId w:val="2"/>
              </w:numPr>
              <w:spacing w:after="160" w:line="240" w:lineRule="auto"/>
              <w:rPr>
                <w:rFonts w:asciiTheme="minorHAnsi" w:hAnsiTheme="minorHAnsi" w:cstheme="minorHAnsi"/>
                <w:lang w:val="en-GB"/>
              </w:rPr>
            </w:pPr>
          </w:p>
        </w:tc>
        <w:tc>
          <w:tcPr>
            <w:tcW w:w="5745" w:type="dxa"/>
          </w:tcPr>
          <w:p w14:paraId="12AD926A" w14:textId="77777777" w:rsidR="00852D8E" w:rsidRPr="00852D8E" w:rsidRDefault="00A07D56" w:rsidP="00D70534">
            <w:pPr>
              <w:spacing w:after="160"/>
              <w:rPr>
                <w:rFonts w:asciiTheme="minorHAnsi" w:hAnsiTheme="minorHAnsi" w:cstheme="minorHAnsi"/>
                <w:lang w:val="en-GB"/>
              </w:rPr>
            </w:pPr>
            <w:r w:rsidRPr="00680020">
              <w:rPr>
                <w:rFonts w:asciiTheme="minorHAnsi" w:eastAsia="Calibri" w:hAnsiTheme="minorHAnsi" w:cstheme="minorHAnsi"/>
              </w:rPr>
              <w:t xml:space="preserve">Abolish </w:t>
            </w:r>
            <w:r w:rsidRPr="00680020">
              <w:rPr>
                <w:rFonts w:asciiTheme="minorHAnsi" w:eastAsia="Calibri" w:hAnsiTheme="minorHAnsi" w:cstheme="minorHAnsi"/>
                <w:b/>
              </w:rPr>
              <w:t>statutory limitations</w:t>
            </w:r>
            <w:r w:rsidRPr="00680020">
              <w:rPr>
                <w:rFonts w:asciiTheme="minorHAnsi" w:eastAsia="Calibri" w:hAnsiTheme="minorHAnsi" w:cstheme="minorHAnsi"/>
              </w:rPr>
              <w:t xml:space="preserve">  for the prosecution of ALL offences of sexual exploitation of children.</w:t>
            </w:r>
          </w:p>
        </w:tc>
        <w:tc>
          <w:tcPr>
            <w:tcW w:w="1605" w:type="dxa"/>
          </w:tcPr>
          <w:p w14:paraId="27D6B531" w14:textId="77777777" w:rsidR="00852D8E" w:rsidRPr="00863165" w:rsidRDefault="00852D8E" w:rsidP="00D70534">
            <w:pPr>
              <w:rPr>
                <w:rFonts w:asciiTheme="minorHAnsi" w:hAnsiTheme="minorHAnsi" w:cstheme="minorHAnsi"/>
                <w:color w:val="000000" w:themeColor="text1"/>
                <w:lang w:val="en-GB"/>
              </w:rPr>
            </w:pPr>
            <w:r w:rsidRPr="00863165">
              <w:rPr>
                <w:rFonts w:asciiTheme="minorHAnsi" w:hAnsiTheme="minorHAnsi" w:cstheme="minorHAnsi"/>
                <w:color w:val="000000" w:themeColor="text1"/>
                <w:lang w:val="en-GB"/>
              </w:rPr>
              <w:t xml:space="preserve"> </w:t>
            </w:r>
            <w:r w:rsidRPr="00863165">
              <w:rPr>
                <w:rFonts w:asciiTheme="minorHAnsi" w:eastAsia="Times New Roman" w:hAnsiTheme="minorHAnsi" w:cstheme="minorHAnsi"/>
                <w:b/>
                <w:color w:val="000000" w:themeColor="text1"/>
                <w:lang w:val="en-GB"/>
              </w:rPr>
              <w:t>No</w:t>
            </w:r>
          </w:p>
        </w:tc>
        <w:tc>
          <w:tcPr>
            <w:tcW w:w="5544" w:type="dxa"/>
          </w:tcPr>
          <w:p w14:paraId="72F1D39E" w14:textId="77777777" w:rsidR="00852D8E" w:rsidRPr="00852D8E" w:rsidRDefault="00A07D56" w:rsidP="00D70534">
            <w:pPr>
              <w:rPr>
                <w:rFonts w:asciiTheme="minorHAnsi" w:hAnsiTheme="minorHAnsi" w:cstheme="minorHAnsi"/>
                <w:lang w:val="en-GB"/>
              </w:rPr>
            </w:pPr>
            <w:r w:rsidRPr="00A07D56">
              <w:rPr>
                <w:rFonts w:asciiTheme="minorHAnsi" w:hAnsiTheme="minorHAnsi" w:cstheme="minorHAnsi"/>
                <w:lang w:val="en-GB"/>
              </w:rPr>
              <w:t>Article 78 of the Criminal Code comprises the rules on statutes of limitations, and does not include special provisions related to child sexual abuse. In general terms, proceedings can be initiated within six years for crimes punished with imprisonment not exceeding three years, 12 years for crimes punished by imprisonment exceeding three years, and within 18 years for crimes punishable by death or life imprisonment.</w:t>
            </w:r>
          </w:p>
        </w:tc>
      </w:tr>
      <w:tr w:rsidR="00852D8E" w:rsidRPr="00852D8E" w14:paraId="2E411A30" w14:textId="77777777" w:rsidTr="00863165">
        <w:trPr>
          <w:trHeight w:val="920"/>
        </w:trPr>
        <w:tc>
          <w:tcPr>
            <w:tcW w:w="568" w:type="dxa"/>
          </w:tcPr>
          <w:p w14:paraId="1C6BE4E8" w14:textId="77777777" w:rsidR="00852D8E" w:rsidRPr="00852D8E" w:rsidRDefault="00852D8E" w:rsidP="00852D8E">
            <w:pPr>
              <w:pStyle w:val="ListParagraph"/>
              <w:numPr>
                <w:ilvl w:val="0"/>
                <w:numId w:val="2"/>
              </w:numPr>
              <w:spacing w:after="160" w:line="240" w:lineRule="auto"/>
              <w:rPr>
                <w:rFonts w:asciiTheme="minorHAnsi" w:hAnsiTheme="minorHAnsi" w:cstheme="minorHAnsi"/>
                <w:lang w:val="en-GB"/>
              </w:rPr>
            </w:pPr>
          </w:p>
        </w:tc>
        <w:tc>
          <w:tcPr>
            <w:tcW w:w="5745" w:type="dxa"/>
          </w:tcPr>
          <w:p w14:paraId="723964DB" w14:textId="77777777" w:rsidR="00852D8E" w:rsidRPr="00852D8E" w:rsidRDefault="00A07D56" w:rsidP="00D70534">
            <w:pPr>
              <w:spacing w:after="160"/>
              <w:rPr>
                <w:rFonts w:asciiTheme="minorHAnsi" w:hAnsiTheme="minorHAnsi" w:cstheme="minorHAnsi"/>
                <w:lang w:val="en-GB"/>
              </w:rPr>
            </w:pPr>
            <w:r w:rsidRPr="00680020">
              <w:rPr>
                <w:rFonts w:asciiTheme="minorHAnsi" w:eastAsia="Calibri" w:hAnsiTheme="minorHAnsi" w:cstheme="minorHAnsi"/>
              </w:rPr>
              <w:t xml:space="preserve">Set up </w:t>
            </w:r>
            <w:r w:rsidRPr="00680020">
              <w:rPr>
                <w:rFonts w:asciiTheme="minorHAnsi" w:eastAsia="Calibri" w:hAnsiTheme="minorHAnsi" w:cstheme="minorHAnsi"/>
                <w:b/>
              </w:rPr>
              <w:t xml:space="preserve">conditions for any travel </w:t>
            </w:r>
            <w:r w:rsidRPr="00680020">
              <w:rPr>
                <w:rFonts w:asciiTheme="minorHAnsi" w:eastAsia="Calibri" w:hAnsiTheme="minorHAnsi" w:cstheme="minorHAnsi"/>
              </w:rPr>
              <w:t>by persons convicted of sexual exploitation of children.</w:t>
            </w:r>
          </w:p>
        </w:tc>
        <w:tc>
          <w:tcPr>
            <w:tcW w:w="1605" w:type="dxa"/>
          </w:tcPr>
          <w:p w14:paraId="1EDF17D4" w14:textId="77777777" w:rsidR="00852D8E" w:rsidRPr="00863165" w:rsidRDefault="00A07D56" w:rsidP="00D70534">
            <w:pPr>
              <w:rPr>
                <w:rFonts w:asciiTheme="minorHAnsi" w:hAnsiTheme="minorHAnsi" w:cstheme="minorHAnsi"/>
                <w:color w:val="000000" w:themeColor="text1"/>
                <w:lang w:val="en-GB"/>
              </w:rPr>
            </w:pPr>
            <w:r w:rsidRPr="00863165">
              <w:rPr>
                <w:rFonts w:ascii="Calibri" w:hAnsi="Calibri" w:cs="Calibri"/>
                <w:b/>
                <w:bCs/>
                <w:color w:val="000000" w:themeColor="text1"/>
                <w:lang w:val="en-GB"/>
              </w:rPr>
              <w:t>Partially</w:t>
            </w:r>
          </w:p>
        </w:tc>
        <w:tc>
          <w:tcPr>
            <w:tcW w:w="5544" w:type="dxa"/>
          </w:tcPr>
          <w:p w14:paraId="6FA1D3A3" w14:textId="77777777" w:rsidR="00852D8E" w:rsidRPr="00852D8E" w:rsidRDefault="00852D8E" w:rsidP="00D70534">
            <w:pPr>
              <w:rPr>
                <w:rFonts w:asciiTheme="minorHAnsi" w:hAnsiTheme="minorHAnsi" w:cstheme="minorHAnsi"/>
                <w:lang w:val="en-GB"/>
              </w:rPr>
            </w:pPr>
            <w:r w:rsidRPr="00852D8E">
              <w:rPr>
                <w:rFonts w:asciiTheme="minorHAnsi" w:hAnsiTheme="minorHAnsi" w:cstheme="minorHAnsi"/>
                <w:lang w:val="en-GB"/>
              </w:rPr>
              <w:t xml:space="preserve">Through the Indonesian Immigration Law UU6-2011, Immigration Officer has for obligation to refuse entry to foreigners on the territory of Indonesia who are notably involved in transnational </w:t>
            </w:r>
            <w:r w:rsidRPr="00852D8E">
              <w:rPr>
                <w:rFonts w:asciiTheme="minorHAnsi" w:hAnsiTheme="minorHAnsi" w:cstheme="minorHAnsi"/>
                <w:color w:val="auto"/>
                <w:lang w:val="en-GB"/>
              </w:rPr>
              <w:t>organis</w:t>
            </w:r>
            <w:r w:rsidRPr="00852D8E">
              <w:rPr>
                <w:rFonts w:asciiTheme="minorHAnsi" w:hAnsiTheme="minorHAnsi" w:cstheme="minorHAnsi"/>
                <w:lang w:val="en-GB"/>
              </w:rPr>
              <w:t xml:space="preserve">ed crime; included in the list of criminals to be captured from a foreign country; or included in the network or the practice of prostitution, trafficking and human smuggling (Article 13).These foreigners who were denied entry are to be placed under surveillance while waiting for the return process is concerned. In addition, visa application shall be rejected in the case of an applicant who is involved in transnational </w:t>
            </w:r>
            <w:r w:rsidRPr="00852D8E">
              <w:rPr>
                <w:rFonts w:asciiTheme="minorHAnsi" w:hAnsiTheme="minorHAnsi" w:cstheme="minorHAnsi"/>
                <w:color w:val="auto"/>
                <w:lang w:val="en-GB"/>
              </w:rPr>
              <w:t>organis</w:t>
            </w:r>
            <w:r w:rsidRPr="00852D8E">
              <w:rPr>
                <w:rFonts w:asciiTheme="minorHAnsi" w:hAnsiTheme="minorHAnsi" w:cstheme="minorHAnsi"/>
                <w:lang w:val="en-GB"/>
              </w:rPr>
              <w:t>ed crime; included in the network or the practice of prostitution, trafficking and human smuggling. This however only concerns entry of foreigners, not when they leave, and does not concerns all offences of sexual exploitation.</w:t>
            </w:r>
          </w:p>
        </w:tc>
      </w:tr>
      <w:tr w:rsidR="00852D8E" w:rsidRPr="00852D8E" w14:paraId="4D168FDC" w14:textId="77777777" w:rsidTr="00863165">
        <w:trPr>
          <w:trHeight w:val="1740"/>
        </w:trPr>
        <w:tc>
          <w:tcPr>
            <w:tcW w:w="568" w:type="dxa"/>
          </w:tcPr>
          <w:p w14:paraId="12967497" w14:textId="77777777" w:rsidR="00852D8E" w:rsidRPr="00852D8E" w:rsidRDefault="00852D8E" w:rsidP="00852D8E">
            <w:pPr>
              <w:pStyle w:val="ListParagraph"/>
              <w:numPr>
                <w:ilvl w:val="0"/>
                <w:numId w:val="2"/>
              </w:numPr>
              <w:spacing w:after="160" w:line="240" w:lineRule="auto"/>
              <w:rPr>
                <w:rFonts w:asciiTheme="minorHAnsi" w:hAnsiTheme="minorHAnsi" w:cstheme="minorHAnsi"/>
                <w:lang w:val="en-GB"/>
              </w:rPr>
            </w:pPr>
          </w:p>
        </w:tc>
        <w:tc>
          <w:tcPr>
            <w:tcW w:w="5745" w:type="dxa"/>
          </w:tcPr>
          <w:p w14:paraId="31036D78" w14:textId="77777777" w:rsidR="00852D8E" w:rsidRPr="00852D8E" w:rsidRDefault="00A07D56" w:rsidP="00D70534">
            <w:pPr>
              <w:spacing w:after="160"/>
              <w:rPr>
                <w:rFonts w:asciiTheme="minorHAnsi" w:hAnsiTheme="minorHAnsi" w:cstheme="minorHAnsi"/>
                <w:lang w:val="en-GB"/>
              </w:rPr>
            </w:pPr>
            <w:r w:rsidRPr="00680020">
              <w:rPr>
                <w:rFonts w:asciiTheme="minorHAnsi" w:eastAsia="Calibri" w:hAnsiTheme="minorHAnsi" w:cstheme="minorHAnsi"/>
              </w:rPr>
              <w:t xml:space="preserve">Ensure </w:t>
            </w:r>
            <w:r w:rsidRPr="00680020">
              <w:rPr>
                <w:rFonts w:asciiTheme="minorHAnsi" w:eastAsia="Calibri" w:hAnsiTheme="minorHAnsi" w:cstheme="minorHAnsi"/>
                <w:b/>
              </w:rPr>
              <w:t xml:space="preserve">consistency in the definition of a ‘child’ </w:t>
            </w:r>
            <w:r w:rsidRPr="00680020">
              <w:rPr>
                <w:rFonts w:asciiTheme="minorHAnsi" w:eastAsia="Calibri" w:hAnsiTheme="minorHAnsi" w:cstheme="minorHAnsi"/>
              </w:rPr>
              <w:t>as anyone under the age of 18 for all crimes of sexual exploitation, regardless of the age of sexual consent</w:t>
            </w:r>
          </w:p>
        </w:tc>
        <w:tc>
          <w:tcPr>
            <w:tcW w:w="1605" w:type="dxa"/>
          </w:tcPr>
          <w:p w14:paraId="6B8B594D" w14:textId="77777777" w:rsidR="00852D8E" w:rsidRPr="00863165" w:rsidRDefault="00852D8E" w:rsidP="00D70534">
            <w:pPr>
              <w:rPr>
                <w:rFonts w:asciiTheme="minorHAnsi" w:hAnsiTheme="minorHAnsi" w:cstheme="minorHAnsi"/>
                <w:color w:val="000000" w:themeColor="text1"/>
                <w:lang w:val="en-GB"/>
              </w:rPr>
            </w:pPr>
            <w:r w:rsidRPr="00863165">
              <w:rPr>
                <w:rFonts w:asciiTheme="minorHAnsi" w:eastAsia="Calibri" w:hAnsiTheme="minorHAnsi" w:cstheme="minorHAnsi"/>
                <w:b/>
                <w:bCs/>
                <w:color w:val="000000" w:themeColor="text1"/>
                <w:lang w:val="en-GB"/>
              </w:rPr>
              <w:t>Yes</w:t>
            </w:r>
          </w:p>
        </w:tc>
        <w:tc>
          <w:tcPr>
            <w:tcW w:w="5544" w:type="dxa"/>
          </w:tcPr>
          <w:p w14:paraId="5BEDCE77" w14:textId="77777777" w:rsidR="00852D8E" w:rsidRPr="00A07D56" w:rsidRDefault="00A07D56" w:rsidP="00D70534">
            <w:pPr>
              <w:rPr>
                <w:rFonts w:asciiTheme="minorHAnsi" w:hAnsiTheme="minorHAnsi" w:cstheme="minorHAnsi"/>
              </w:rPr>
            </w:pPr>
            <w:r w:rsidRPr="00A07D56">
              <w:rPr>
                <w:rFonts w:asciiTheme="minorHAnsi" w:hAnsiTheme="minorHAnsi" w:cstheme="minorHAnsi"/>
                <w:lang w:val="en-GB"/>
              </w:rPr>
              <w:t>Under Indonesian Law, a child is “a person under eighteen y</w:t>
            </w:r>
            <w:r>
              <w:rPr>
                <w:rFonts w:asciiTheme="minorHAnsi" w:hAnsiTheme="minorHAnsi" w:cstheme="minorHAnsi"/>
                <w:lang w:val="en-GB"/>
              </w:rPr>
              <w:t xml:space="preserve">ears of age, including unborn” </w:t>
            </w:r>
            <w:r w:rsidRPr="00A07D56">
              <w:rPr>
                <w:rFonts w:asciiTheme="minorHAnsi" w:hAnsiTheme="minorHAnsi" w:cstheme="minorHAnsi"/>
                <w:lang w:val="en-GB"/>
              </w:rPr>
              <w:t>and this definition is consistent across all national legislation. The Civil Code, the Criminal Code and the Criminal Procedure Code refer to children using the alternative term ‘minors’ but that fact does not dilute the equal treatment that children receive under Indonesian legislation.</w:t>
            </w:r>
          </w:p>
        </w:tc>
      </w:tr>
      <w:tr w:rsidR="00852D8E" w:rsidRPr="00852D8E" w14:paraId="70F66B16" w14:textId="77777777" w:rsidTr="00863165">
        <w:trPr>
          <w:trHeight w:val="144"/>
        </w:trPr>
        <w:tc>
          <w:tcPr>
            <w:tcW w:w="568" w:type="dxa"/>
          </w:tcPr>
          <w:p w14:paraId="7599C296" w14:textId="77777777" w:rsidR="00852D8E" w:rsidRPr="00852D8E" w:rsidRDefault="00852D8E" w:rsidP="00852D8E">
            <w:pPr>
              <w:pStyle w:val="ListParagraph"/>
              <w:numPr>
                <w:ilvl w:val="0"/>
                <w:numId w:val="2"/>
              </w:numPr>
              <w:spacing w:line="240" w:lineRule="auto"/>
              <w:rPr>
                <w:rFonts w:asciiTheme="minorHAnsi" w:hAnsiTheme="minorHAnsi" w:cstheme="minorHAnsi"/>
                <w:lang w:val="en-GB"/>
              </w:rPr>
            </w:pPr>
          </w:p>
        </w:tc>
        <w:tc>
          <w:tcPr>
            <w:tcW w:w="5745" w:type="dxa"/>
          </w:tcPr>
          <w:p w14:paraId="26CAE244" w14:textId="77777777" w:rsidR="00852D8E" w:rsidRPr="00852D8E" w:rsidRDefault="00A07D56" w:rsidP="00D70534">
            <w:pPr>
              <w:rPr>
                <w:rFonts w:asciiTheme="minorHAnsi" w:hAnsiTheme="minorHAnsi" w:cstheme="minorHAnsi"/>
                <w:lang w:val="en-GB"/>
              </w:rPr>
            </w:pPr>
            <w:r w:rsidRPr="00680020">
              <w:rPr>
                <w:rFonts w:asciiTheme="minorHAnsi" w:eastAsia="Calibri" w:hAnsiTheme="minorHAnsi" w:cstheme="minorHAnsi"/>
              </w:rPr>
              <w:t xml:space="preserve">Ensure that the </w:t>
            </w:r>
            <w:r w:rsidRPr="00680020">
              <w:rPr>
                <w:rFonts w:asciiTheme="minorHAnsi" w:eastAsia="Calibri" w:hAnsiTheme="minorHAnsi" w:cstheme="minorHAnsi"/>
                <w:b/>
              </w:rPr>
              <w:t>age of sexual consent</w:t>
            </w:r>
            <w:r w:rsidRPr="00680020">
              <w:rPr>
                <w:rFonts w:asciiTheme="minorHAnsi" w:eastAsia="Calibri" w:hAnsiTheme="minorHAnsi" w:cstheme="minorHAnsi"/>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605" w:type="dxa"/>
          </w:tcPr>
          <w:p w14:paraId="50570239" w14:textId="77777777" w:rsidR="00852D8E" w:rsidRPr="00863165" w:rsidRDefault="00852D8E" w:rsidP="00D70534">
            <w:pPr>
              <w:rPr>
                <w:rFonts w:asciiTheme="minorHAnsi" w:hAnsiTheme="minorHAnsi" w:cstheme="minorHAnsi"/>
                <w:color w:val="000000" w:themeColor="text1"/>
                <w:lang w:val="en-GB"/>
              </w:rPr>
            </w:pPr>
            <w:r w:rsidRPr="00863165">
              <w:rPr>
                <w:rFonts w:asciiTheme="minorHAnsi" w:hAnsiTheme="minorHAnsi" w:cstheme="minorHAnsi"/>
                <w:color w:val="000000" w:themeColor="text1"/>
                <w:lang w:val="en-GB"/>
              </w:rPr>
              <w:t xml:space="preserve"> </w:t>
            </w:r>
            <w:r w:rsidR="00A07D56" w:rsidRPr="00863165">
              <w:rPr>
                <w:rFonts w:ascii="Calibri" w:hAnsi="Calibri" w:cs="Calibri"/>
                <w:b/>
                <w:bCs/>
                <w:color w:val="000000" w:themeColor="text1"/>
                <w:lang w:val="en-GB"/>
              </w:rPr>
              <w:t>No</w:t>
            </w:r>
          </w:p>
        </w:tc>
        <w:tc>
          <w:tcPr>
            <w:tcW w:w="5544" w:type="dxa"/>
          </w:tcPr>
          <w:p w14:paraId="34FD3566" w14:textId="77777777" w:rsidR="00852D8E" w:rsidRPr="00852D8E" w:rsidRDefault="00A07D56" w:rsidP="00D70534">
            <w:pPr>
              <w:rPr>
                <w:rFonts w:asciiTheme="minorHAnsi" w:hAnsiTheme="minorHAnsi" w:cstheme="minorHAnsi"/>
                <w:lang w:val="en-GB"/>
              </w:rPr>
            </w:pPr>
            <w:r w:rsidRPr="00A07D56">
              <w:rPr>
                <w:rFonts w:asciiTheme="minorHAnsi" w:hAnsiTheme="minorHAnsi" w:cstheme="minorHAnsi"/>
                <w:lang w:val="en-GB"/>
              </w:rPr>
              <w:t>The age of sexual consent is 15 years for girls as stated by Article 287 of the Criminal Code.  According to the text, “any person who out of marriage has carnal knowledge of a woman whom he knows or reasonably should presume that she has not yet reached the age of fifteen years or, if it is not obvious from her age, that she is not yet marriageable, shall be punished by a maximum</w:t>
            </w:r>
            <w:r>
              <w:rPr>
                <w:rFonts w:asciiTheme="minorHAnsi" w:hAnsiTheme="minorHAnsi" w:cstheme="minorHAnsi"/>
                <w:lang w:val="en-GB"/>
              </w:rPr>
              <w:t xml:space="preserve"> imprisonment of nine years”.  </w:t>
            </w:r>
            <w:r w:rsidRPr="00A07D56">
              <w:rPr>
                <w:rFonts w:asciiTheme="minorHAnsi" w:hAnsiTheme="minorHAnsi" w:cstheme="minorHAnsi"/>
                <w:lang w:val="en-GB"/>
              </w:rPr>
              <w:t xml:space="preserve">This provision clearly excludes boys as victims of statutory rape. In addition, the Criminal Code establishes an exception for criminal responsibility in case of reasonable belief that the girl has reached the age of 15 years.  </w:t>
            </w:r>
          </w:p>
        </w:tc>
      </w:tr>
      <w:tr w:rsidR="00852D8E" w:rsidRPr="00852D8E" w14:paraId="5DE5DACB" w14:textId="77777777" w:rsidTr="00863165">
        <w:trPr>
          <w:trHeight w:val="288"/>
        </w:trPr>
        <w:tc>
          <w:tcPr>
            <w:tcW w:w="568" w:type="dxa"/>
          </w:tcPr>
          <w:p w14:paraId="38770D73" w14:textId="77777777" w:rsidR="00852D8E" w:rsidRPr="00852D8E" w:rsidRDefault="00852D8E" w:rsidP="00852D8E">
            <w:pPr>
              <w:pStyle w:val="ListParagraph"/>
              <w:numPr>
                <w:ilvl w:val="0"/>
                <w:numId w:val="2"/>
              </w:numPr>
              <w:spacing w:after="160" w:line="240" w:lineRule="auto"/>
              <w:rPr>
                <w:rFonts w:asciiTheme="minorHAnsi" w:hAnsiTheme="minorHAnsi" w:cstheme="minorHAnsi"/>
                <w:lang w:val="en-GB"/>
              </w:rPr>
            </w:pPr>
          </w:p>
        </w:tc>
        <w:tc>
          <w:tcPr>
            <w:tcW w:w="5745" w:type="dxa"/>
          </w:tcPr>
          <w:p w14:paraId="4A4BC254" w14:textId="77777777" w:rsidR="00852D8E" w:rsidRPr="00852D8E" w:rsidRDefault="00A07D56" w:rsidP="00D70534">
            <w:pPr>
              <w:spacing w:after="160"/>
              <w:rPr>
                <w:rFonts w:asciiTheme="minorHAnsi" w:hAnsiTheme="minorHAnsi" w:cstheme="minorHAnsi"/>
              </w:rPr>
            </w:pPr>
            <w:r w:rsidRPr="00680020">
              <w:rPr>
                <w:rFonts w:asciiTheme="minorHAnsi" w:eastAsia="Calibri" w:hAnsiTheme="minorHAnsi" w:cstheme="minorHAnsi"/>
              </w:rPr>
              <w:t xml:space="preserve">Have a law or regulation establishing a </w:t>
            </w:r>
            <w:r w:rsidRPr="00680020">
              <w:rPr>
                <w:rFonts w:asciiTheme="minorHAnsi" w:eastAsia="Calibri" w:hAnsiTheme="minorHAnsi" w:cstheme="minorHAnsi"/>
                <w:b/>
              </w:rPr>
              <w:t>mechanism for centrally registering sex offenders</w:t>
            </w:r>
            <w:r w:rsidRPr="00680020">
              <w:rPr>
                <w:rFonts w:asciiTheme="minorHAnsi" w:eastAsia="Calibri" w:hAnsiTheme="minorHAnsi" w:cstheme="minorHAnsi"/>
              </w:rPr>
              <w:t xml:space="preserve"> that has been implemented/setup.</w:t>
            </w:r>
          </w:p>
        </w:tc>
        <w:tc>
          <w:tcPr>
            <w:tcW w:w="1605" w:type="dxa"/>
          </w:tcPr>
          <w:p w14:paraId="576AEA47" w14:textId="77777777" w:rsidR="00852D8E" w:rsidRPr="00863165" w:rsidRDefault="00852D8E" w:rsidP="00D70534">
            <w:pPr>
              <w:rPr>
                <w:rFonts w:asciiTheme="minorHAnsi" w:hAnsiTheme="minorHAnsi" w:cstheme="minorHAnsi"/>
                <w:color w:val="000000" w:themeColor="text1"/>
                <w:lang w:val="en-GB"/>
              </w:rPr>
            </w:pPr>
            <w:r w:rsidRPr="00863165">
              <w:rPr>
                <w:rFonts w:asciiTheme="minorHAnsi" w:hAnsiTheme="minorHAnsi" w:cstheme="minorHAnsi"/>
                <w:b/>
                <w:color w:val="000000" w:themeColor="text1"/>
                <w:lang w:val="en-GB"/>
              </w:rPr>
              <w:t>No</w:t>
            </w:r>
          </w:p>
        </w:tc>
        <w:tc>
          <w:tcPr>
            <w:tcW w:w="5544" w:type="dxa"/>
          </w:tcPr>
          <w:p w14:paraId="3BAA96DC" w14:textId="2E20810C" w:rsidR="00852D8E" w:rsidRPr="00852D8E" w:rsidRDefault="00852D8E" w:rsidP="00D70534">
            <w:pPr>
              <w:rPr>
                <w:rFonts w:asciiTheme="minorHAnsi" w:hAnsiTheme="minorHAnsi" w:cstheme="minorHAnsi"/>
                <w:lang w:val="en-GB"/>
              </w:rPr>
            </w:pPr>
            <w:r w:rsidRPr="00C87B47">
              <w:rPr>
                <w:rFonts w:asciiTheme="minorHAnsi" w:hAnsiTheme="minorHAnsi" w:cstheme="minorHAnsi"/>
                <w:lang w:val="en-GB"/>
              </w:rPr>
              <w:t>A draft law on the Elimination of Sexual Violence, which might cover this aspect is currently under deliberation in the Indonesian House of Representatives (as of November 2020).</w:t>
            </w:r>
          </w:p>
          <w:p w14:paraId="6BE57C7E" w14:textId="27F7377E" w:rsidR="00852D8E" w:rsidRPr="00852D8E" w:rsidRDefault="00852D8E" w:rsidP="00D70534">
            <w:pPr>
              <w:rPr>
                <w:rFonts w:asciiTheme="minorHAnsi" w:hAnsiTheme="minorHAnsi" w:cstheme="minorHAnsi"/>
                <w:lang w:val="en-GB"/>
              </w:rPr>
            </w:pPr>
            <w:r w:rsidRPr="00852D8E">
              <w:rPr>
                <w:rFonts w:asciiTheme="minorHAnsi" w:hAnsiTheme="minorHAnsi" w:cstheme="minorHAnsi"/>
                <w:lang w:val="en-GB"/>
              </w:rPr>
              <w:t>In 2016 the gang rape of a 14-year-old girl in Sumatra led to protests calling for more severe punishment of child sex offenders. Consequently, a “</w:t>
            </w:r>
            <w:r w:rsidRPr="00852D8E">
              <w:rPr>
                <w:rFonts w:asciiTheme="minorHAnsi" w:hAnsiTheme="minorHAnsi" w:cstheme="minorHAnsi"/>
                <w:i/>
                <w:lang w:val="en-GB"/>
              </w:rPr>
              <w:t>presidential regulation</w:t>
            </w:r>
            <w:r w:rsidRPr="00852D8E">
              <w:rPr>
                <w:rFonts w:asciiTheme="minorHAnsi" w:hAnsiTheme="minorHAnsi" w:cstheme="minorHAnsi"/>
                <w:lang w:val="en-GB"/>
              </w:rPr>
              <w:t>” was issued providing for increased punishment. Regulation No. 1/2016, which amended the 2002 Law on Child Protection, will remain in effect until revision of the 2012 Child Protection Law is finalised.</w:t>
            </w:r>
            <w:r w:rsidR="00306DBD">
              <w:rPr>
                <w:rFonts w:asciiTheme="minorHAnsi" w:hAnsiTheme="minorHAnsi" w:cstheme="minorHAnsi"/>
                <w:lang w:val="en-GB"/>
              </w:rPr>
              <w:t xml:space="preserve"> </w:t>
            </w:r>
            <w:r w:rsidRPr="00852D8E">
              <w:rPr>
                <w:rFonts w:asciiTheme="minorHAnsi" w:hAnsiTheme="minorHAnsi" w:cstheme="minorHAnsi"/>
                <w:lang w:val="en-GB"/>
              </w:rPr>
              <w:t xml:space="preserve">The regulation provides for </w:t>
            </w:r>
            <w:r w:rsidRPr="00852D8E">
              <w:rPr>
                <w:rFonts w:asciiTheme="minorHAnsi" w:hAnsiTheme="minorHAnsi" w:cstheme="minorHAnsi"/>
                <w:lang w:val="en-GB"/>
              </w:rPr>
              <w:lastRenderedPageBreak/>
              <w:t>increased sentences, including the death penalty, life imprisonment, chemical castration and use of tracking devices, as well as publication of offenders’ names</w:t>
            </w:r>
            <w:r w:rsidRPr="009E66AF">
              <w:rPr>
                <w:rFonts w:asciiTheme="minorHAnsi" w:hAnsiTheme="minorHAnsi" w:cstheme="minorHAnsi"/>
                <w:lang w:val="en-GB"/>
              </w:rPr>
              <w:t>.</w:t>
            </w:r>
            <w:r w:rsidR="00306DBD" w:rsidRPr="009E66AF">
              <w:rPr>
                <w:rFonts w:asciiTheme="minorHAnsi" w:hAnsiTheme="minorHAnsi" w:cstheme="minorHAnsi"/>
                <w:lang w:val="en-GB"/>
              </w:rPr>
              <w:t xml:space="preserve"> </w:t>
            </w:r>
            <w:r w:rsidR="00306DBD" w:rsidRPr="00B9753D">
              <w:rPr>
                <w:rFonts w:asciiTheme="minorHAnsi" w:hAnsiTheme="minorHAnsi" w:cstheme="minorHAnsi"/>
                <w:lang w:val="en-GB"/>
              </w:rPr>
              <w:t>There is no law in Indonesia that regulates central registration of sex offenders.</w:t>
            </w:r>
            <w:r w:rsidR="00306DBD">
              <w:rPr>
                <w:rFonts w:asciiTheme="minorHAnsi" w:hAnsiTheme="minorHAnsi" w:cstheme="minorHAnsi"/>
                <w:lang w:val="en-GB"/>
              </w:rPr>
              <w:t xml:space="preserve"> </w:t>
            </w:r>
          </w:p>
        </w:tc>
      </w:tr>
      <w:tr w:rsidR="00852D8E" w:rsidRPr="00852D8E" w14:paraId="0049ACA5" w14:textId="77777777" w:rsidTr="00863165">
        <w:trPr>
          <w:trHeight w:val="920"/>
        </w:trPr>
        <w:tc>
          <w:tcPr>
            <w:tcW w:w="568" w:type="dxa"/>
          </w:tcPr>
          <w:p w14:paraId="560782AC" w14:textId="77777777" w:rsidR="00852D8E" w:rsidRPr="00852D8E" w:rsidRDefault="00852D8E" w:rsidP="00852D8E">
            <w:pPr>
              <w:pStyle w:val="ListParagraph"/>
              <w:numPr>
                <w:ilvl w:val="0"/>
                <w:numId w:val="2"/>
              </w:numPr>
              <w:spacing w:after="160" w:line="240" w:lineRule="auto"/>
              <w:rPr>
                <w:rFonts w:asciiTheme="minorHAnsi" w:hAnsiTheme="minorHAnsi" w:cstheme="minorHAnsi"/>
                <w:lang w:val="en-GB"/>
              </w:rPr>
            </w:pPr>
          </w:p>
        </w:tc>
        <w:tc>
          <w:tcPr>
            <w:tcW w:w="5745" w:type="dxa"/>
          </w:tcPr>
          <w:p w14:paraId="792CF405" w14:textId="77777777" w:rsidR="00852D8E" w:rsidRPr="00852D8E" w:rsidRDefault="00A07D56" w:rsidP="00D70534">
            <w:pPr>
              <w:spacing w:after="160"/>
              <w:rPr>
                <w:rFonts w:asciiTheme="minorHAnsi" w:hAnsiTheme="minorHAnsi" w:cstheme="minorHAnsi"/>
                <w:lang w:val="en-GB"/>
              </w:rPr>
            </w:pPr>
            <w:r w:rsidRPr="00D42F68">
              <w:rPr>
                <w:rFonts w:ascii="Calibri" w:eastAsia="Calibri" w:hAnsi="Calibri" w:cs="Calibri"/>
              </w:rPr>
              <w:t xml:space="preserve">Establish </w:t>
            </w:r>
            <w:r>
              <w:rPr>
                <w:rFonts w:ascii="Calibri" w:eastAsia="Calibri" w:hAnsi="Calibri" w:cs="Calibri"/>
                <w:b/>
              </w:rPr>
              <w:t>bail</w:t>
            </w:r>
            <w:r w:rsidRPr="00D42F68">
              <w:rPr>
                <w:rFonts w:ascii="Calibri" w:eastAsia="Calibri" w:hAnsi="Calibri" w:cs="Calibri"/>
                <w:b/>
              </w:rPr>
              <w:t xml:space="preserve"> conditions</w:t>
            </w:r>
            <w:r w:rsidRPr="00D42F68">
              <w:rPr>
                <w:rFonts w:ascii="Calibri" w:eastAsia="Calibri" w:hAnsi="Calibri" w:cs="Calibri"/>
              </w:rPr>
              <w:t xml:space="preserve"> that prohibit individual accused of sexual offences against children from traveling outside of the country.</w:t>
            </w:r>
          </w:p>
        </w:tc>
        <w:tc>
          <w:tcPr>
            <w:tcW w:w="1605" w:type="dxa"/>
          </w:tcPr>
          <w:p w14:paraId="4C9A6777" w14:textId="77777777" w:rsidR="00852D8E" w:rsidRPr="00863165" w:rsidRDefault="00A07D56" w:rsidP="00D70534">
            <w:pPr>
              <w:rPr>
                <w:rFonts w:asciiTheme="minorHAnsi" w:hAnsiTheme="minorHAnsi" w:cstheme="minorHAnsi"/>
                <w:color w:val="000000" w:themeColor="text1"/>
                <w:lang w:val="en-GB"/>
              </w:rPr>
            </w:pPr>
            <w:r w:rsidRPr="00863165">
              <w:rPr>
                <w:rFonts w:ascii="Calibri" w:hAnsi="Calibri" w:cs="Calibri"/>
                <w:b/>
                <w:bCs/>
                <w:color w:val="000000" w:themeColor="text1"/>
                <w:lang w:val="en-GB"/>
              </w:rPr>
              <w:t>Yes</w:t>
            </w:r>
          </w:p>
        </w:tc>
        <w:tc>
          <w:tcPr>
            <w:tcW w:w="5544" w:type="dxa"/>
          </w:tcPr>
          <w:p w14:paraId="5A801F9D" w14:textId="77777777" w:rsidR="00852D8E" w:rsidRPr="00852D8E" w:rsidRDefault="00852D8E" w:rsidP="00D70534">
            <w:pPr>
              <w:rPr>
                <w:rFonts w:asciiTheme="minorHAnsi" w:hAnsiTheme="minorHAnsi" w:cstheme="minorHAnsi"/>
                <w:lang w:val="en-GB"/>
              </w:rPr>
            </w:pPr>
            <w:r w:rsidRPr="00852D8E">
              <w:rPr>
                <w:rFonts w:asciiTheme="minorHAnsi" w:hAnsiTheme="minorHAnsi" w:cstheme="minorHAnsi"/>
                <w:lang w:val="en-GB"/>
              </w:rPr>
              <w:t>There is no bail system in Indonesia; however, investigators, prosecutors and judges, in accordance with their respective authorities, can grant a suspension of detention.</w:t>
            </w:r>
          </w:p>
        </w:tc>
      </w:tr>
      <w:tr w:rsidR="00852D8E" w:rsidRPr="00852D8E" w14:paraId="43B00A63" w14:textId="77777777" w:rsidTr="00863165">
        <w:trPr>
          <w:trHeight w:val="640"/>
        </w:trPr>
        <w:tc>
          <w:tcPr>
            <w:tcW w:w="568" w:type="dxa"/>
          </w:tcPr>
          <w:p w14:paraId="2570EAEB" w14:textId="77777777" w:rsidR="00852D8E" w:rsidRPr="00852D8E" w:rsidRDefault="00852D8E" w:rsidP="00852D8E">
            <w:pPr>
              <w:pStyle w:val="ListParagraph"/>
              <w:numPr>
                <w:ilvl w:val="0"/>
                <w:numId w:val="2"/>
              </w:numPr>
              <w:spacing w:after="160" w:line="240" w:lineRule="auto"/>
              <w:rPr>
                <w:rFonts w:asciiTheme="minorHAnsi" w:hAnsiTheme="minorHAnsi" w:cstheme="minorHAnsi"/>
                <w:lang w:val="en-GB"/>
              </w:rPr>
            </w:pPr>
          </w:p>
        </w:tc>
        <w:tc>
          <w:tcPr>
            <w:tcW w:w="5745" w:type="dxa"/>
          </w:tcPr>
          <w:p w14:paraId="77F0FCF4" w14:textId="77777777" w:rsidR="00852D8E" w:rsidRPr="00852D8E" w:rsidRDefault="00A07D56" w:rsidP="00D70534">
            <w:pPr>
              <w:spacing w:after="160"/>
              <w:rPr>
                <w:rFonts w:asciiTheme="minorHAnsi" w:hAnsiTheme="minorHAnsi" w:cstheme="minorHAnsi"/>
                <w:lang w:val="en-GB"/>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criminalised.</w:t>
            </w:r>
          </w:p>
        </w:tc>
        <w:tc>
          <w:tcPr>
            <w:tcW w:w="1605" w:type="dxa"/>
          </w:tcPr>
          <w:p w14:paraId="73252515" w14:textId="77777777" w:rsidR="00852D8E" w:rsidRPr="00863165" w:rsidRDefault="00A07D56" w:rsidP="00A07D56">
            <w:pPr>
              <w:rPr>
                <w:rFonts w:asciiTheme="minorHAnsi" w:hAnsiTheme="minorHAnsi" w:cstheme="minorHAnsi"/>
                <w:color w:val="000000" w:themeColor="text1"/>
                <w:lang w:val="en-GB"/>
              </w:rPr>
            </w:pPr>
            <w:r w:rsidRPr="00863165">
              <w:rPr>
                <w:rFonts w:ascii="Calibri" w:hAnsi="Calibri" w:cs="Calibri"/>
                <w:b/>
                <w:bCs/>
                <w:color w:val="000000" w:themeColor="text1"/>
                <w:lang w:val="en-GB"/>
              </w:rPr>
              <w:t>Yes</w:t>
            </w:r>
          </w:p>
        </w:tc>
        <w:tc>
          <w:tcPr>
            <w:tcW w:w="5544" w:type="dxa"/>
          </w:tcPr>
          <w:p w14:paraId="730C8DFD" w14:textId="77777777" w:rsidR="00852D8E" w:rsidRPr="00A07D56" w:rsidRDefault="00A07D56" w:rsidP="00D70534">
            <w:pPr>
              <w:rPr>
                <w:rFonts w:asciiTheme="minorHAnsi" w:hAnsiTheme="minorHAnsi" w:cstheme="minorHAnsi"/>
              </w:rPr>
            </w:pPr>
            <w:r w:rsidRPr="00A07D56">
              <w:rPr>
                <w:rFonts w:asciiTheme="minorHAnsi" w:hAnsiTheme="minorHAnsi" w:cstheme="minorHAnsi"/>
                <w:lang w:val="en-GB"/>
              </w:rPr>
              <w:t>According to Article 53 of the Criminal Code, an attempt to commit a crime is punishable if the intention of the offender has revealed itself by a commencement of the performance and the performance is not completed only because of circumstances independent of his will. The maximum of the basic punishments imposed on the crime in case of attempt shall be mitigated by one third and additional punishments for attempts are the same as for the completed crime.</w:t>
            </w:r>
          </w:p>
        </w:tc>
      </w:tr>
      <w:tr w:rsidR="00852D8E" w:rsidRPr="00852D8E" w14:paraId="4EBA5B18" w14:textId="77777777" w:rsidTr="00863165">
        <w:trPr>
          <w:trHeight w:val="1008"/>
        </w:trPr>
        <w:tc>
          <w:tcPr>
            <w:tcW w:w="568" w:type="dxa"/>
          </w:tcPr>
          <w:p w14:paraId="538B4BF5" w14:textId="77777777" w:rsidR="00852D8E" w:rsidRPr="00852D8E" w:rsidRDefault="00852D8E" w:rsidP="00852D8E">
            <w:pPr>
              <w:pStyle w:val="ListParagraph"/>
              <w:numPr>
                <w:ilvl w:val="0"/>
                <w:numId w:val="2"/>
              </w:numPr>
              <w:spacing w:line="240" w:lineRule="auto"/>
              <w:rPr>
                <w:rFonts w:asciiTheme="minorHAnsi" w:hAnsiTheme="minorHAnsi" w:cstheme="minorHAnsi"/>
                <w:lang w:val="en-GB"/>
              </w:rPr>
            </w:pPr>
          </w:p>
        </w:tc>
        <w:tc>
          <w:tcPr>
            <w:tcW w:w="5745" w:type="dxa"/>
          </w:tcPr>
          <w:p w14:paraId="21EDE799" w14:textId="77777777" w:rsidR="00852D8E" w:rsidRPr="00852D8E" w:rsidRDefault="00A07D56" w:rsidP="00D70534">
            <w:pPr>
              <w:rPr>
                <w:rFonts w:asciiTheme="minorHAnsi" w:hAnsiTheme="minorHAnsi" w:cstheme="minorHAnsi"/>
                <w:lang w:val="en-GB"/>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exploitation against children, e.g. by defining reoffending as an aggravating circumstance, regardless of whether the crimes were perpetrated abroad or in-country.</w:t>
            </w:r>
          </w:p>
        </w:tc>
        <w:tc>
          <w:tcPr>
            <w:tcW w:w="1605" w:type="dxa"/>
          </w:tcPr>
          <w:p w14:paraId="3EDA9A25" w14:textId="77777777" w:rsidR="00852D8E" w:rsidRPr="00863165" w:rsidRDefault="00162E4A" w:rsidP="00D70534">
            <w:pPr>
              <w:rPr>
                <w:rFonts w:asciiTheme="minorHAnsi" w:hAnsiTheme="minorHAnsi" w:cstheme="minorHAnsi"/>
                <w:color w:val="000000" w:themeColor="text1"/>
                <w:lang w:val="en-GB"/>
              </w:rPr>
            </w:pPr>
            <w:r w:rsidRPr="00863165">
              <w:rPr>
                <w:rFonts w:ascii="Corbel" w:eastAsia="Corbel" w:hAnsi="Corbel" w:cs="Corbel"/>
                <w:b/>
                <w:color w:val="000000" w:themeColor="text1"/>
              </w:rPr>
              <w:t>Partially</w:t>
            </w:r>
          </w:p>
        </w:tc>
        <w:tc>
          <w:tcPr>
            <w:tcW w:w="5544" w:type="dxa"/>
          </w:tcPr>
          <w:p w14:paraId="635854CE" w14:textId="77777777" w:rsidR="00852D8E" w:rsidRPr="00162E4A" w:rsidRDefault="00162E4A" w:rsidP="00162E4A">
            <w:pPr>
              <w:rPr>
                <w:rFonts w:asciiTheme="minorHAnsi" w:hAnsiTheme="minorHAnsi" w:cstheme="minorHAnsi"/>
              </w:rPr>
            </w:pPr>
            <w:r w:rsidRPr="00162E4A">
              <w:rPr>
                <w:rFonts w:asciiTheme="minorHAnsi" w:hAnsiTheme="minorHAnsi" w:cstheme="minorHAnsi"/>
                <w:lang w:val="en-GB"/>
              </w:rPr>
              <w:t xml:space="preserve">Recidivism is addressed in Chapter XXXI of Book II of the Criminal Code, Articles 486 to 488, but </w:t>
            </w:r>
            <w:r>
              <w:rPr>
                <w:rFonts w:asciiTheme="minorHAnsi" w:hAnsiTheme="minorHAnsi" w:cstheme="minorHAnsi"/>
                <w:lang w:val="en-GB"/>
              </w:rPr>
              <w:t>not for all crimes of sexual exploitation of children as</w:t>
            </w:r>
            <w:r w:rsidRPr="00162E4A">
              <w:rPr>
                <w:rFonts w:asciiTheme="minorHAnsi" w:hAnsiTheme="minorHAnsi" w:cstheme="minorHAnsi"/>
                <w:lang w:val="en-GB"/>
              </w:rPr>
              <w:t xml:space="preserve"> </w:t>
            </w:r>
            <w:r>
              <w:rPr>
                <w:rFonts w:asciiTheme="minorHAnsi" w:hAnsiTheme="minorHAnsi" w:cstheme="minorHAnsi"/>
                <w:lang w:val="en-GB"/>
              </w:rPr>
              <w:t xml:space="preserve">these provisions are not applicable to </w:t>
            </w:r>
            <w:r w:rsidRPr="00162E4A">
              <w:rPr>
                <w:rFonts w:asciiTheme="minorHAnsi" w:hAnsiTheme="minorHAnsi" w:cstheme="minorHAnsi"/>
                <w:lang w:val="en-GB"/>
              </w:rPr>
              <w:t xml:space="preserve">Article 282 (the only article in the Criminal Code applicable to </w:t>
            </w:r>
            <w:r>
              <w:rPr>
                <w:rFonts w:asciiTheme="minorHAnsi" w:hAnsiTheme="minorHAnsi" w:cstheme="minorHAnsi"/>
                <w:lang w:val="en-GB"/>
              </w:rPr>
              <w:t>child sexual abuse materials</w:t>
            </w:r>
            <w:r w:rsidRPr="00162E4A">
              <w:rPr>
                <w:rFonts w:asciiTheme="minorHAnsi" w:hAnsiTheme="minorHAnsi" w:cstheme="minorHAnsi"/>
                <w:lang w:val="en-GB"/>
              </w:rPr>
              <w:t xml:space="preserve">). However, Article 282 (3) of the Criminal Code contains a paragraph on recidivism by stating that “if the offender makes an occupation or a habit of the commission of the crime described in the first paragraph, a maximum imprisonment of two years and eight months or a </w:t>
            </w:r>
            <w:r>
              <w:rPr>
                <w:rFonts w:asciiTheme="minorHAnsi" w:hAnsiTheme="minorHAnsi" w:cstheme="minorHAnsi"/>
                <w:lang w:val="en-GB"/>
              </w:rPr>
              <w:t xml:space="preserve">maximum fine of 75,000 rupiahs </w:t>
            </w:r>
            <w:r w:rsidRPr="00162E4A">
              <w:rPr>
                <w:rFonts w:asciiTheme="minorHAnsi" w:hAnsiTheme="minorHAnsi" w:cstheme="minorHAnsi"/>
                <w:lang w:val="en-GB"/>
              </w:rPr>
              <w:t>may be i</w:t>
            </w:r>
            <w:r>
              <w:rPr>
                <w:rFonts w:asciiTheme="minorHAnsi" w:hAnsiTheme="minorHAnsi" w:cstheme="minorHAnsi"/>
                <w:lang w:val="en-GB"/>
              </w:rPr>
              <w:t>mposed”</w:t>
            </w:r>
            <w:r w:rsidRPr="00162E4A">
              <w:rPr>
                <w:rFonts w:asciiTheme="minorHAnsi" w:hAnsiTheme="minorHAnsi" w:cstheme="minorHAnsi"/>
                <w:lang w:val="en-GB"/>
              </w:rPr>
              <w:t xml:space="preserve"> but the law does not define what a “habit” means. Besides, the Law on </w:t>
            </w:r>
            <w:r w:rsidRPr="00162E4A">
              <w:rPr>
                <w:rFonts w:asciiTheme="minorHAnsi" w:hAnsiTheme="minorHAnsi" w:cstheme="minorHAnsi"/>
                <w:lang w:val="en-GB"/>
              </w:rPr>
              <w:lastRenderedPageBreak/>
              <w:t>Pornography does not contain any provision hardening penalties for recidivists.</w:t>
            </w:r>
          </w:p>
        </w:tc>
      </w:tr>
      <w:tr w:rsidR="00852D8E" w:rsidRPr="00852D8E" w14:paraId="421943DA" w14:textId="77777777" w:rsidTr="00863165">
        <w:trPr>
          <w:trHeight w:val="1584"/>
        </w:trPr>
        <w:tc>
          <w:tcPr>
            <w:tcW w:w="568" w:type="dxa"/>
          </w:tcPr>
          <w:p w14:paraId="5E459603" w14:textId="77777777" w:rsidR="00852D8E" w:rsidRPr="00852D8E" w:rsidRDefault="00852D8E" w:rsidP="00852D8E">
            <w:pPr>
              <w:pStyle w:val="ListParagraph"/>
              <w:numPr>
                <w:ilvl w:val="0"/>
                <w:numId w:val="2"/>
              </w:numPr>
              <w:spacing w:after="160" w:line="240" w:lineRule="auto"/>
              <w:rPr>
                <w:rFonts w:asciiTheme="minorHAnsi" w:hAnsiTheme="minorHAnsi" w:cstheme="minorHAnsi"/>
                <w:lang w:val="en-GB"/>
              </w:rPr>
            </w:pPr>
          </w:p>
        </w:tc>
        <w:tc>
          <w:tcPr>
            <w:tcW w:w="5745" w:type="dxa"/>
          </w:tcPr>
          <w:p w14:paraId="2E98D951" w14:textId="77777777" w:rsidR="00852D8E" w:rsidRPr="00852D8E" w:rsidRDefault="00162E4A" w:rsidP="00D70534">
            <w:pPr>
              <w:rPr>
                <w:rFonts w:asciiTheme="minorHAnsi" w:hAnsiTheme="minorHAnsi" w:cstheme="minorHAnsi"/>
                <w:lang w:val="en-GB"/>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particular professions that have likelihood to have contact with kids who might disclose.</w:t>
            </w:r>
          </w:p>
        </w:tc>
        <w:tc>
          <w:tcPr>
            <w:tcW w:w="1605" w:type="dxa"/>
          </w:tcPr>
          <w:p w14:paraId="38D5C54E" w14:textId="77777777" w:rsidR="00852D8E" w:rsidRPr="00863165" w:rsidRDefault="00852D8E" w:rsidP="00D70534">
            <w:pPr>
              <w:rPr>
                <w:rFonts w:asciiTheme="minorHAnsi" w:hAnsiTheme="minorHAnsi" w:cstheme="minorHAnsi"/>
                <w:b/>
                <w:color w:val="000000" w:themeColor="text1"/>
                <w:lang w:val="en-GB"/>
              </w:rPr>
            </w:pPr>
            <w:r w:rsidRPr="00863165">
              <w:rPr>
                <w:rFonts w:asciiTheme="minorHAnsi" w:hAnsiTheme="minorHAnsi" w:cstheme="minorHAnsi"/>
                <w:b/>
                <w:color w:val="000000" w:themeColor="text1"/>
                <w:lang w:val="en-GB"/>
              </w:rPr>
              <w:t>No</w:t>
            </w:r>
          </w:p>
        </w:tc>
        <w:tc>
          <w:tcPr>
            <w:tcW w:w="5544" w:type="dxa"/>
          </w:tcPr>
          <w:p w14:paraId="7BFF02BF" w14:textId="77777777" w:rsidR="00852D8E" w:rsidRPr="00852D8E" w:rsidRDefault="00852D8E" w:rsidP="00D70534">
            <w:pPr>
              <w:spacing w:after="200"/>
              <w:jc w:val="both"/>
              <w:rPr>
                <w:rFonts w:asciiTheme="minorHAnsi" w:hAnsiTheme="minorHAnsi" w:cstheme="minorHAnsi"/>
                <w:lang w:val="en-GB"/>
              </w:rPr>
            </w:pPr>
            <w:r w:rsidRPr="00852D8E">
              <w:rPr>
                <w:rFonts w:asciiTheme="minorHAnsi" w:hAnsiTheme="minorHAnsi" w:cstheme="minorHAnsi"/>
                <w:lang w:val="en-GB"/>
              </w:rPr>
              <w:t xml:space="preserve">No provisions on mandatory reporting are included in national legislation. </w:t>
            </w:r>
          </w:p>
          <w:p w14:paraId="0119492F" w14:textId="77777777" w:rsidR="00852D8E" w:rsidRPr="00852D8E" w:rsidRDefault="00852D8E" w:rsidP="00D70534">
            <w:pPr>
              <w:spacing w:after="200"/>
              <w:jc w:val="both"/>
              <w:rPr>
                <w:rFonts w:asciiTheme="minorHAnsi" w:hAnsiTheme="minorHAnsi" w:cstheme="minorHAnsi"/>
                <w:lang w:val="en-GB"/>
              </w:rPr>
            </w:pPr>
          </w:p>
        </w:tc>
      </w:tr>
      <w:tr w:rsidR="00852D8E" w:rsidRPr="00852D8E" w14:paraId="5EB7EB80" w14:textId="77777777" w:rsidTr="00863165">
        <w:trPr>
          <w:trHeight w:val="1152"/>
        </w:trPr>
        <w:tc>
          <w:tcPr>
            <w:tcW w:w="568" w:type="dxa"/>
          </w:tcPr>
          <w:p w14:paraId="5E4CC960" w14:textId="77777777" w:rsidR="00852D8E" w:rsidRPr="00852D8E" w:rsidRDefault="00852D8E" w:rsidP="00852D8E">
            <w:pPr>
              <w:pStyle w:val="ListParagraph"/>
              <w:numPr>
                <w:ilvl w:val="0"/>
                <w:numId w:val="2"/>
              </w:numPr>
              <w:spacing w:line="240" w:lineRule="auto"/>
              <w:rPr>
                <w:rFonts w:asciiTheme="minorHAnsi" w:hAnsiTheme="minorHAnsi" w:cstheme="minorHAnsi"/>
                <w:lang w:val="en-GB"/>
              </w:rPr>
            </w:pPr>
          </w:p>
        </w:tc>
        <w:tc>
          <w:tcPr>
            <w:tcW w:w="5745" w:type="dxa"/>
          </w:tcPr>
          <w:p w14:paraId="42D6629C" w14:textId="77777777" w:rsidR="00852D8E" w:rsidRPr="00852D8E" w:rsidRDefault="00162E4A" w:rsidP="00D70534">
            <w:pPr>
              <w:rPr>
                <w:rFonts w:asciiTheme="minorHAnsi" w:hAnsiTheme="minorHAnsi" w:cstheme="minorHAnsi"/>
                <w:lang w:val="en-GB"/>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605" w:type="dxa"/>
          </w:tcPr>
          <w:p w14:paraId="3591C261" w14:textId="77777777" w:rsidR="00852D8E" w:rsidRPr="00863165" w:rsidRDefault="00852D8E" w:rsidP="00D70534">
            <w:pPr>
              <w:rPr>
                <w:rFonts w:asciiTheme="minorHAnsi" w:hAnsiTheme="minorHAnsi" w:cstheme="minorHAnsi"/>
                <w:color w:val="000000" w:themeColor="text1"/>
                <w:lang w:val="en-GB"/>
              </w:rPr>
            </w:pPr>
            <w:r w:rsidRPr="00863165">
              <w:rPr>
                <w:rFonts w:asciiTheme="minorHAnsi" w:eastAsia="Corbel" w:hAnsiTheme="minorHAnsi" w:cstheme="minorHAnsi"/>
                <w:b/>
                <w:color w:val="000000" w:themeColor="text1"/>
              </w:rPr>
              <w:t>No</w:t>
            </w:r>
          </w:p>
        </w:tc>
        <w:tc>
          <w:tcPr>
            <w:tcW w:w="5544" w:type="dxa"/>
          </w:tcPr>
          <w:p w14:paraId="33DAD68F" w14:textId="77777777" w:rsidR="00852D8E" w:rsidRPr="00852D8E" w:rsidRDefault="00852D8E" w:rsidP="00D70534">
            <w:pPr>
              <w:jc w:val="both"/>
              <w:rPr>
                <w:rFonts w:asciiTheme="minorHAnsi" w:hAnsiTheme="minorHAnsi" w:cstheme="minorHAnsi"/>
                <w:lang w:val="en-GB"/>
              </w:rPr>
            </w:pPr>
            <w:r w:rsidRPr="00852D8E">
              <w:rPr>
                <w:rFonts w:asciiTheme="minorHAnsi" w:hAnsiTheme="minorHAnsi" w:cstheme="minorHAnsi"/>
                <w:lang w:val="en-GB"/>
              </w:rPr>
              <w:t>Law No. 35/2014 provides liability to the private sector to participate in the protection of children in Indonesia. This also this also applies to the tourism industry.</w:t>
            </w:r>
          </w:p>
          <w:p w14:paraId="6D660530" w14:textId="77777777" w:rsidR="00852D8E" w:rsidRPr="00852D8E" w:rsidRDefault="00852D8E" w:rsidP="00D70534">
            <w:pPr>
              <w:rPr>
                <w:rFonts w:asciiTheme="minorHAnsi" w:hAnsiTheme="minorHAnsi" w:cstheme="minorHAnsi"/>
                <w:lang w:val="en-GB"/>
              </w:rPr>
            </w:pPr>
          </w:p>
          <w:p w14:paraId="7DE1E916" w14:textId="77777777" w:rsidR="00852D8E" w:rsidRPr="00852D8E" w:rsidRDefault="00852D8E" w:rsidP="00D70534">
            <w:pPr>
              <w:rPr>
                <w:rFonts w:asciiTheme="minorHAnsi" w:hAnsiTheme="minorHAnsi" w:cstheme="minorHAnsi"/>
                <w:lang w:val="en-GB"/>
              </w:rPr>
            </w:pPr>
            <w:r w:rsidRPr="00852D8E">
              <w:rPr>
                <w:rFonts w:asciiTheme="minorHAnsi" w:hAnsiTheme="minorHAnsi" w:cstheme="minorHAnsi"/>
                <w:lang w:val="en-GB"/>
              </w:rPr>
              <w:t xml:space="preserve">However, no industry specific national codes for child protection and regulatory authorities are provided by law. </w:t>
            </w:r>
          </w:p>
        </w:tc>
      </w:tr>
      <w:tr w:rsidR="00852D8E" w:rsidRPr="00852D8E" w14:paraId="567ABD61" w14:textId="77777777" w:rsidTr="00863165">
        <w:trPr>
          <w:trHeight w:val="1584"/>
        </w:trPr>
        <w:tc>
          <w:tcPr>
            <w:tcW w:w="568" w:type="dxa"/>
          </w:tcPr>
          <w:p w14:paraId="50D266BD" w14:textId="77777777" w:rsidR="00852D8E" w:rsidRPr="00852D8E" w:rsidRDefault="00852D8E" w:rsidP="00852D8E">
            <w:pPr>
              <w:pStyle w:val="ListParagraph"/>
              <w:numPr>
                <w:ilvl w:val="0"/>
                <w:numId w:val="2"/>
              </w:numPr>
              <w:spacing w:line="240" w:lineRule="auto"/>
              <w:rPr>
                <w:rFonts w:asciiTheme="minorHAnsi" w:hAnsiTheme="minorHAnsi" w:cstheme="minorHAnsi"/>
                <w:lang w:val="en-GB"/>
              </w:rPr>
            </w:pPr>
          </w:p>
        </w:tc>
        <w:tc>
          <w:tcPr>
            <w:tcW w:w="5745" w:type="dxa"/>
          </w:tcPr>
          <w:p w14:paraId="6DA80A45" w14:textId="77777777" w:rsidR="00DA0331" w:rsidRPr="00F93302" w:rsidRDefault="00DA0331" w:rsidP="00DA0331">
            <w:pPr>
              <w:jc w:val="both"/>
              <w:rPr>
                <w:rFonts w:asciiTheme="minorHAnsi" w:hAnsiTheme="minorHAnsi" w:cstheme="minorHAnsi"/>
              </w:rPr>
            </w:pPr>
            <w:r w:rsidRPr="00F93302">
              <w:rPr>
                <w:rFonts w:asciiTheme="minorHAnsi" w:hAnsiTheme="minorHAnsi" w:cstheme="minorHAnsi"/>
              </w:rPr>
              <w:t xml:space="preserve">Ensure the </w:t>
            </w:r>
            <w:r w:rsidRPr="00F93302">
              <w:rPr>
                <w:rFonts w:asciiTheme="minorHAnsi" w:hAnsiTheme="minorHAnsi" w:cstheme="minorHAnsi"/>
                <w:b/>
              </w:rPr>
              <w:t>liability of travel and tourism businesses</w:t>
            </w:r>
            <w:r w:rsidRPr="00F93302">
              <w:rPr>
                <w:rFonts w:asciiTheme="minorHAnsi" w:hAnsiTheme="minorHAnsi" w:cstheme="minorHAnsi"/>
              </w:rPr>
              <w:t xml:space="preserve"> (in operations and supply chains) for criminal conduct including:</w:t>
            </w:r>
          </w:p>
          <w:p w14:paraId="629EE5EF" w14:textId="77777777" w:rsidR="00DA0331" w:rsidRPr="00F93302" w:rsidRDefault="00DA0331" w:rsidP="00DA0331">
            <w:pPr>
              <w:pStyle w:val="ListParagraph"/>
              <w:numPr>
                <w:ilvl w:val="0"/>
                <w:numId w:val="4"/>
              </w:numPr>
              <w:spacing w:line="240" w:lineRule="auto"/>
              <w:jc w:val="both"/>
              <w:rPr>
                <w:rFonts w:asciiTheme="minorHAnsi" w:hAnsiTheme="minorHAnsi" w:cstheme="minorHAnsi"/>
              </w:rPr>
            </w:pPr>
            <w:r w:rsidRPr="00F93302">
              <w:rPr>
                <w:rFonts w:asciiTheme="minorHAnsi" w:hAnsiTheme="minorHAnsi" w:cstheme="minorHAnsi"/>
              </w:rPr>
              <w:t>Organising travel arrangements or transportation that are explicitly or implicitly meant to create or facilitate opportunities to engage (involve) children in sexual activities;</w:t>
            </w:r>
          </w:p>
          <w:p w14:paraId="04E7FF2F" w14:textId="77777777" w:rsidR="00DA0331" w:rsidRPr="00F93302" w:rsidRDefault="00DA0331" w:rsidP="00DA0331">
            <w:pPr>
              <w:pStyle w:val="ListParagraph"/>
              <w:numPr>
                <w:ilvl w:val="0"/>
                <w:numId w:val="4"/>
              </w:numPr>
              <w:spacing w:line="240" w:lineRule="auto"/>
              <w:jc w:val="both"/>
              <w:rPr>
                <w:rFonts w:asciiTheme="minorHAnsi" w:hAnsiTheme="minorHAnsi" w:cstheme="minorHAnsi"/>
              </w:rPr>
            </w:pPr>
            <w:r w:rsidRPr="00F93302">
              <w:rPr>
                <w:rFonts w:asciiTheme="minorHAnsi" w:hAnsiTheme="minorHAnsi" w:cstheme="minorHAnsi"/>
              </w:rPr>
              <w:t>Procuring, aiding or abetting the exploitat</w:t>
            </w:r>
            <w:r>
              <w:rPr>
                <w:rFonts w:asciiTheme="minorHAnsi" w:hAnsiTheme="minorHAnsi" w:cstheme="minorHAnsi"/>
              </w:rPr>
              <w:t xml:space="preserve">ive sexual </w:t>
            </w:r>
            <w:r w:rsidRPr="00F93302">
              <w:rPr>
                <w:rFonts w:asciiTheme="minorHAnsi" w:hAnsiTheme="minorHAnsi" w:cstheme="minorHAnsi"/>
              </w:rPr>
              <w:t>conduct with a child;</w:t>
            </w:r>
          </w:p>
          <w:p w14:paraId="53355D21" w14:textId="77777777" w:rsidR="00DA0331" w:rsidRDefault="00DA0331" w:rsidP="00DA0331">
            <w:pPr>
              <w:pStyle w:val="ListParagraph"/>
              <w:numPr>
                <w:ilvl w:val="0"/>
                <w:numId w:val="4"/>
              </w:numPr>
              <w:spacing w:line="240" w:lineRule="auto"/>
              <w:jc w:val="both"/>
              <w:rPr>
                <w:rFonts w:asciiTheme="minorHAnsi" w:hAnsiTheme="minorHAnsi" w:cstheme="minorHAnsi"/>
              </w:rPr>
            </w:pPr>
            <w:r w:rsidRPr="00F93302">
              <w:rPr>
                <w:rFonts w:asciiTheme="minorHAnsi" w:hAnsiTheme="minorHAnsi" w:cstheme="minorHAnsi"/>
              </w:rPr>
              <w:t>Advertising or promoting sexual exploitation of children;</w:t>
            </w:r>
          </w:p>
          <w:p w14:paraId="195F830D" w14:textId="41429786" w:rsidR="00852D8E" w:rsidRPr="00852D8E" w:rsidRDefault="00DA0331" w:rsidP="00DA0331">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ind w:left="810" w:hanging="270"/>
              <w:jc w:val="both"/>
              <w:rPr>
                <w:rFonts w:asciiTheme="minorHAnsi" w:hAnsiTheme="minorHAnsi" w:cstheme="minorHAnsi"/>
              </w:rPr>
            </w:pPr>
            <w:r w:rsidRPr="00F93302">
              <w:rPr>
                <w:rFonts w:asciiTheme="minorHAnsi" w:hAnsiTheme="minorHAnsi" w:cstheme="minorHAnsi"/>
              </w:rPr>
              <w:t>Benefitting, by any means, from any form of sexual exploitation of a child (or children) in the context of their travel and tourism business.</w:t>
            </w:r>
          </w:p>
        </w:tc>
        <w:tc>
          <w:tcPr>
            <w:tcW w:w="1605" w:type="dxa"/>
          </w:tcPr>
          <w:p w14:paraId="00334BF7" w14:textId="41501629" w:rsidR="00852D8E" w:rsidRPr="00863165" w:rsidRDefault="00DA0331" w:rsidP="00DA0331">
            <w:pPr>
              <w:rPr>
                <w:rFonts w:asciiTheme="minorHAnsi" w:hAnsiTheme="minorHAnsi" w:cstheme="minorHAnsi"/>
                <w:color w:val="000000" w:themeColor="text1"/>
                <w:lang w:val="en-GB"/>
              </w:rPr>
            </w:pPr>
            <w:r w:rsidRPr="00863165">
              <w:rPr>
                <w:rFonts w:asciiTheme="minorHAnsi" w:eastAsia="Corbel" w:hAnsiTheme="minorHAnsi" w:cstheme="minorHAnsi"/>
                <w:b/>
                <w:color w:val="000000" w:themeColor="text1"/>
              </w:rPr>
              <w:t>No</w:t>
            </w:r>
          </w:p>
        </w:tc>
        <w:tc>
          <w:tcPr>
            <w:tcW w:w="5544" w:type="dxa"/>
          </w:tcPr>
          <w:p w14:paraId="4AF5E5B9" w14:textId="77777777" w:rsidR="00852D8E" w:rsidRPr="00852D8E" w:rsidRDefault="00852D8E" w:rsidP="00D70534">
            <w:pPr>
              <w:rPr>
                <w:rFonts w:asciiTheme="minorHAnsi" w:hAnsiTheme="minorHAnsi" w:cstheme="minorHAnsi"/>
                <w:lang w:val="en-GB"/>
              </w:rPr>
            </w:pPr>
            <w:r w:rsidRPr="00852D8E">
              <w:rPr>
                <w:rFonts w:asciiTheme="minorHAnsi" w:hAnsiTheme="minorHAnsi" w:cstheme="minorHAnsi"/>
                <w:lang w:val="en-GB"/>
              </w:rPr>
              <w:t xml:space="preserve">In the absence of specific rules on SECTT, some rules are however applicable to corporations that could apply to held tourism companies liable when they are engaged in activities related to the sexual exploitation of children. This is however insufficient. Article 88 of the Child Protection Act, read in conjunction with Article 90, allows imposinga criminal penalty on the management and/or the corporation when the corporation has economically or sexually exploits a child in order to benefit itself or others. </w:t>
            </w:r>
            <w:r w:rsidRPr="00852D8E">
              <w:rPr>
                <w:rFonts w:asciiTheme="minorHAnsi" w:hAnsiTheme="minorHAnsi" w:cstheme="minorHAnsi"/>
                <w:lang w:val="en-GB"/>
              </w:rPr>
              <w:br/>
              <w:t>In addition, through article 40 of the pornography law 44/2008, if pornography is committed by or on behalf of a corporation, criminal prosecution and improper can be made against the corporation and / or its management</w:t>
            </w:r>
            <w:r w:rsidRPr="00852D8E">
              <w:rPr>
                <w:rFonts w:asciiTheme="minorHAnsi" w:hAnsiTheme="minorHAnsi" w:cstheme="minorHAnsi"/>
                <w:lang w:val="en-GB"/>
              </w:rPr>
              <w:br/>
            </w:r>
          </w:p>
        </w:tc>
      </w:tr>
      <w:tr w:rsidR="00852D8E" w:rsidRPr="00852D8E" w14:paraId="3F89C1AF" w14:textId="77777777" w:rsidTr="00863165">
        <w:trPr>
          <w:trHeight w:val="1000"/>
        </w:trPr>
        <w:tc>
          <w:tcPr>
            <w:tcW w:w="568" w:type="dxa"/>
          </w:tcPr>
          <w:p w14:paraId="3DC00BEE" w14:textId="77777777" w:rsidR="00852D8E" w:rsidRPr="00852D8E" w:rsidRDefault="00852D8E" w:rsidP="00852D8E">
            <w:pPr>
              <w:pStyle w:val="ListParagraph"/>
              <w:numPr>
                <w:ilvl w:val="0"/>
                <w:numId w:val="2"/>
              </w:numPr>
              <w:spacing w:line="240" w:lineRule="auto"/>
              <w:rPr>
                <w:rFonts w:asciiTheme="minorHAnsi" w:hAnsiTheme="minorHAnsi" w:cstheme="minorHAnsi"/>
                <w:lang w:val="en-GB"/>
              </w:rPr>
            </w:pPr>
          </w:p>
        </w:tc>
        <w:tc>
          <w:tcPr>
            <w:tcW w:w="5745" w:type="dxa"/>
          </w:tcPr>
          <w:p w14:paraId="0B966D33" w14:textId="0755873D" w:rsidR="00852D8E" w:rsidRPr="00852D8E" w:rsidRDefault="00DA0331" w:rsidP="00D70534">
            <w:pPr>
              <w:rPr>
                <w:rFonts w:asciiTheme="minorHAnsi" w:hAnsiTheme="minorHAnsi" w:cstheme="minorHAnsi"/>
                <w:lang w:val="en-GB"/>
              </w:rPr>
            </w:pPr>
            <w:r w:rsidRPr="00A160C0">
              <w:rPr>
                <w:rFonts w:ascii="Calibri" w:eastAsia="Calibri" w:hAnsi="Calibri" w:cs="Calibri"/>
              </w:rPr>
              <w:t xml:space="preserve">Criminalise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law)  including through Internet and other communication technologies to facilitate either online or offline sexual exploitation.</w:t>
            </w:r>
          </w:p>
        </w:tc>
        <w:tc>
          <w:tcPr>
            <w:tcW w:w="1605" w:type="dxa"/>
          </w:tcPr>
          <w:p w14:paraId="24E7F8CC" w14:textId="17B53941" w:rsidR="00852D8E" w:rsidRPr="00863165" w:rsidRDefault="00DA0331" w:rsidP="00D70534">
            <w:pPr>
              <w:rPr>
                <w:rFonts w:asciiTheme="minorHAnsi" w:hAnsiTheme="minorHAnsi" w:cstheme="minorHAnsi"/>
                <w:color w:val="000000" w:themeColor="text1"/>
                <w:lang w:val="en-GB"/>
              </w:rPr>
            </w:pPr>
            <w:r w:rsidRPr="00863165">
              <w:rPr>
                <w:rFonts w:ascii="Calibri" w:hAnsi="Calibri" w:cs="Calibri"/>
                <w:b/>
                <w:bCs/>
                <w:color w:val="000000" w:themeColor="text1"/>
                <w:lang w:val="en-GB"/>
              </w:rPr>
              <w:t>No</w:t>
            </w:r>
          </w:p>
        </w:tc>
        <w:tc>
          <w:tcPr>
            <w:tcW w:w="5544" w:type="dxa"/>
          </w:tcPr>
          <w:p w14:paraId="2E38884A" w14:textId="331ED071" w:rsidR="00852D8E" w:rsidRDefault="00DA0331" w:rsidP="00D70534">
            <w:pPr>
              <w:rPr>
                <w:rFonts w:asciiTheme="minorHAnsi" w:hAnsiTheme="minorHAnsi" w:cstheme="minorHAnsi"/>
                <w:lang w:val="en-GB"/>
              </w:rPr>
            </w:pPr>
            <w:r w:rsidRPr="00DA0331">
              <w:rPr>
                <w:rFonts w:asciiTheme="minorHAnsi" w:hAnsiTheme="minorHAnsi" w:cstheme="minorHAnsi"/>
                <w:lang w:val="en-GB"/>
              </w:rPr>
              <w:t xml:space="preserve">Indonesia does not clearly define online grooming nor does it have an explicit provision which criminalises it. </w:t>
            </w:r>
          </w:p>
          <w:p w14:paraId="402F536C" w14:textId="77777777" w:rsidR="00DA0331" w:rsidRPr="00DA0331" w:rsidRDefault="00DA0331" w:rsidP="00D70534">
            <w:pPr>
              <w:rPr>
                <w:rFonts w:asciiTheme="minorHAnsi" w:hAnsiTheme="minorHAnsi" w:cstheme="minorHAnsi"/>
              </w:rPr>
            </w:pPr>
          </w:p>
          <w:p w14:paraId="49D14DC8" w14:textId="77777777" w:rsidR="00852D8E" w:rsidRPr="00852D8E" w:rsidRDefault="00852D8E" w:rsidP="00D70534">
            <w:pPr>
              <w:rPr>
                <w:rFonts w:asciiTheme="minorHAnsi" w:hAnsiTheme="minorHAnsi" w:cstheme="minorHAnsi"/>
                <w:lang w:val="en-GB"/>
              </w:rPr>
            </w:pPr>
            <w:r w:rsidRPr="00852D8E">
              <w:rPr>
                <w:rFonts w:asciiTheme="minorHAnsi" w:hAnsiTheme="minorHAnsi" w:cstheme="minorHAnsi"/>
                <w:lang w:val="en-GB"/>
              </w:rPr>
              <w:t xml:space="preserve">However, Article 82 of the Child Protection Act criminalises anyone who deliberately commits violence, or threat of violence, forces, does tricks, tells a series of lies, or persuades a child to do, or let obscene acts to happen. </w:t>
            </w:r>
          </w:p>
          <w:p w14:paraId="7DA1D5C2" w14:textId="77777777" w:rsidR="00852D8E" w:rsidRPr="00852D8E" w:rsidRDefault="00852D8E" w:rsidP="00D70534">
            <w:pPr>
              <w:rPr>
                <w:rFonts w:asciiTheme="minorHAnsi" w:hAnsiTheme="minorHAnsi" w:cstheme="minorHAnsi"/>
                <w:lang w:val="en-GB"/>
              </w:rPr>
            </w:pPr>
            <w:r w:rsidRPr="00852D8E">
              <w:rPr>
                <w:rFonts w:asciiTheme="minorHAnsi" w:hAnsiTheme="minorHAnsi" w:cstheme="minorHAnsi"/>
                <w:lang w:val="en-GB"/>
              </w:rPr>
              <w:t>Article 290 of the Criminal Code subjects to sentence anyone who seduces someone whom he knows or reasonably should presume that he has not yet reached the age of fifteen years or, if it is not obvious from the age, is not yet marriageable, to commit or tolerate obscene acts or to have carnal knowledge, out of marriage, of a third party.</w:t>
            </w:r>
          </w:p>
          <w:p w14:paraId="44926717" w14:textId="77777777" w:rsidR="00852D8E" w:rsidRPr="00852D8E" w:rsidRDefault="00852D8E" w:rsidP="00D70534">
            <w:pPr>
              <w:rPr>
                <w:rFonts w:asciiTheme="minorHAnsi" w:hAnsiTheme="minorHAnsi" w:cstheme="minorHAnsi"/>
                <w:lang w:val="en-GB"/>
              </w:rPr>
            </w:pPr>
            <w:r w:rsidRPr="00852D8E">
              <w:rPr>
                <w:rFonts w:asciiTheme="minorHAnsi" w:hAnsiTheme="minorHAnsi" w:cstheme="minorHAnsi"/>
                <w:lang w:val="en-GB"/>
              </w:rPr>
              <w:t>Article 12 of the Anti-Pornography Law criminalises several conducts, such as inviting, enticing, taking advantage or coercing children into pornography or pornographic content. However, the provisions do not correspond fully to the definition of “</w:t>
            </w:r>
            <w:r w:rsidRPr="00852D8E">
              <w:rPr>
                <w:rFonts w:asciiTheme="minorHAnsi" w:hAnsiTheme="minorHAnsi" w:cstheme="minorHAnsi"/>
                <w:i/>
                <w:lang w:val="en-GB"/>
              </w:rPr>
              <w:t>online grooming</w:t>
            </w:r>
            <w:r w:rsidRPr="00852D8E">
              <w:rPr>
                <w:rFonts w:asciiTheme="minorHAnsi" w:hAnsiTheme="minorHAnsi" w:cstheme="minorHAnsi"/>
                <w:lang w:val="en-GB"/>
              </w:rPr>
              <w:t>” established under the Lanzarote Convention.</w:t>
            </w:r>
          </w:p>
        </w:tc>
      </w:tr>
      <w:tr w:rsidR="00852D8E" w:rsidRPr="00852D8E" w14:paraId="375733BE" w14:textId="77777777" w:rsidTr="00863165">
        <w:trPr>
          <w:trHeight w:val="20"/>
        </w:trPr>
        <w:tc>
          <w:tcPr>
            <w:tcW w:w="568" w:type="dxa"/>
          </w:tcPr>
          <w:p w14:paraId="22D838BB" w14:textId="77777777" w:rsidR="00852D8E" w:rsidRPr="00852D8E" w:rsidRDefault="00852D8E" w:rsidP="00852D8E">
            <w:pPr>
              <w:pStyle w:val="ListParagraph"/>
              <w:numPr>
                <w:ilvl w:val="0"/>
                <w:numId w:val="2"/>
              </w:numPr>
              <w:spacing w:line="240" w:lineRule="auto"/>
              <w:rPr>
                <w:rFonts w:asciiTheme="minorHAnsi" w:hAnsiTheme="minorHAnsi" w:cstheme="minorHAnsi"/>
                <w:lang w:val="en-GB"/>
              </w:rPr>
            </w:pPr>
          </w:p>
        </w:tc>
        <w:tc>
          <w:tcPr>
            <w:tcW w:w="5745" w:type="dxa"/>
          </w:tcPr>
          <w:p w14:paraId="5C0535D3" w14:textId="48C884B9" w:rsidR="00852D8E" w:rsidRPr="00852D8E" w:rsidRDefault="00DA0331" w:rsidP="00D70534">
            <w:pPr>
              <w:rPr>
                <w:rFonts w:asciiTheme="minorHAnsi" w:hAnsiTheme="minorHAnsi" w:cstheme="minorHAns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605" w:type="dxa"/>
          </w:tcPr>
          <w:p w14:paraId="4EEEBBF7" w14:textId="77777777" w:rsidR="00852D8E" w:rsidRPr="00863165" w:rsidRDefault="00852D8E" w:rsidP="00D70534">
            <w:pPr>
              <w:rPr>
                <w:rFonts w:asciiTheme="minorHAnsi" w:hAnsiTheme="minorHAnsi" w:cstheme="minorHAnsi"/>
                <w:color w:val="000000" w:themeColor="text1"/>
                <w:lang w:val="en-GB"/>
              </w:rPr>
            </w:pPr>
            <w:r w:rsidRPr="00863165">
              <w:rPr>
                <w:rFonts w:asciiTheme="minorHAnsi" w:hAnsiTheme="minorHAnsi" w:cstheme="minorHAnsi"/>
                <w:b/>
                <w:color w:val="000000" w:themeColor="text1"/>
                <w:lang w:val="en-GB"/>
              </w:rPr>
              <w:t>Partially</w:t>
            </w:r>
          </w:p>
        </w:tc>
        <w:tc>
          <w:tcPr>
            <w:tcW w:w="5544" w:type="dxa"/>
          </w:tcPr>
          <w:p w14:paraId="1971A1C1" w14:textId="1FF5AE1E" w:rsidR="00852D8E" w:rsidRPr="00852D8E" w:rsidRDefault="00DA0331" w:rsidP="00D70534">
            <w:pPr>
              <w:rPr>
                <w:rFonts w:asciiTheme="minorHAnsi" w:hAnsiTheme="minorHAnsi" w:cstheme="minorHAnsi"/>
                <w:lang w:val="en-GB"/>
              </w:rPr>
            </w:pPr>
            <w:r>
              <w:rPr>
                <w:rFonts w:asciiTheme="minorHAnsi" w:hAnsiTheme="minorHAnsi" w:cstheme="minorHAnsi"/>
                <w:lang w:val="en-GB"/>
              </w:rPr>
              <w:t>Every</w:t>
            </w:r>
            <w:r w:rsidR="00852D8E" w:rsidRPr="00852D8E">
              <w:rPr>
                <w:rFonts w:asciiTheme="minorHAnsi" w:hAnsiTheme="minorHAnsi" w:cstheme="minorHAnsi"/>
                <w:lang w:val="en-GB"/>
              </w:rPr>
              <w:t xml:space="preserve"> person applying for a job in Indonesia is usually required by both private and government employers to obtain a Police Record Certificate (SKCK) explaining whether a person has been involved in a crime in his/her life. The certificate is issued by the police at the request of the job seeker, although not required by law, has become customary in Indonesia.</w:t>
            </w:r>
          </w:p>
        </w:tc>
      </w:tr>
      <w:tr w:rsidR="00852D8E" w:rsidRPr="00852D8E" w14:paraId="3B13F2C2" w14:textId="77777777" w:rsidTr="00863165">
        <w:trPr>
          <w:trHeight w:val="20"/>
        </w:trPr>
        <w:tc>
          <w:tcPr>
            <w:tcW w:w="568" w:type="dxa"/>
          </w:tcPr>
          <w:p w14:paraId="2768D691" w14:textId="77777777" w:rsidR="00852D8E" w:rsidRPr="00852D8E" w:rsidRDefault="00852D8E" w:rsidP="00852D8E">
            <w:pPr>
              <w:pStyle w:val="ListParagraph"/>
              <w:numPr>
                <w:ilvl w:val="0"/>
                <w:numId w:val="2"/>
              </w:numPr>
              <w:spacing w:line="240" w:lineRule="auto"/>
              <w:rPr>
                <w:rFonts w:asciiTheme="minorHAnsi" w:hAnsiTheme="minorHAnsi" w:cstheme="minorHAnsi"/>
                <w:lang w:val="en-GB"/>
              </w:rPr>
            </w:pPr>
          </w:p>
        </w:tc>
        <w:tc>
          <w:tcPr>
            <w:tcW w:w="5745" w:type="dxa"/>
          </w:tcPr>
          <w:p w14:paraId="7BFC4AA5" w14:textId="616CEAC8" w:rsidR="00852D8E" w:rsidRPr="00852D8E" w:rsidRDefault="00DA0331" w:rsidP="00D70534">
            <w:pPr>
              <w:rPr>
                <w:rFonts w:asciiTheme="minorHAnsi" w:hAnsiTheme="minorHAnsi" w:cstheme="minorHAnsi"/>
                <w:lang w:val="en-GB"/>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xml:space="preserve">) in settings and activities that involve direct contact with children, particularly prohibiting visits to </w:t>
            </w:r>
            <w:r w:rsidRPr="00A160C0">
              <w:rPr>
                <w:rFonts w:ascii="Calibri" w:eastAsia="Calibri" w:hAnsi="Calibri" w:cs="Calibri"/>
              </w:rPr>
              <w:lastRenderedPageBreak/>
              <w:t>orphanages/residential care settings in favour of redirecting the industry towards solutions that support community-based care.</w:t>
            </w:r>
          </w:p>
        </w:tc>
        <w:tc>
          <w:tcPr>
            <w:tcW w:w="1605" w:type="dxa"/>
          </w:tcPr>
          <w:p w14:paraId="18C89135" w14:textId="77777777" w:rsidR="00852D8E" w:rsidRPr="00863165" w:rsidRDefault="00852D8E" w:rsidP="00D70534">
            <w:pPr>
              <w:rPr>
                <w:rFonts w:asciiTheme="minorHAnsi" w:hAnsiTheme="minorHAnsi" w:cstheme="minorHAnsi"/>
                <w:color w:val="000000" w:themeColor="text1"/>
                <w:lang w:val="en-GB"/>
              </w:rPr>
            </w:pPr>
            <w:r w:rsidRPr="00863165">
              <w:rPr>
                <w:rFonts w:asciiTheme="minorHAnsi" w:hAnsiTheme="minorHAnsi" w:cstheme="minorHAnsi"/>
                <w:color w:val="000000" w:themeColor="text1"/>
                <w:lang w:val="en-GB"/>
              </w:rPr>
              <w:lastRenderedPageBreak/>
              <w:t xml:space="preserve"> </w:t>
            </w:r>
            <w:r w:rsidRPr="00863165">
              <w:rPr>
                <w:rFonts w:asciiTheme="minorHAnsi" w:eastAsia="Times New Roman" w:hAnsiTheme="minorHAnsi" w:cstheme="minorHAnsi"/>
                <w:b/>
                <w:color w:val="000000" w:themeColor="text1"/>
                <w:lang w:val="en-GB"/>
              </w:rPr>
              <w:t>No</w:t>
            </w:r>
          </w:p>
        </w:tc>
        <w:tc>
          <w:tcPr>
            <w:tcW w:w="5544" w:type="dxa"/>
          </w:tcPr>
          <w:p w14:paraId="61775C11" w14:textId="77777777" w:rsidR="00852D8E" w:rsidRPr="00852D8E" w:rsidRDefault="00852D8E" w:rsidP="00D70534">
            <w:pPr>
              <w:rPr>
                <w:rFonts w:asciiTheme="minorHAnsi" w:hAnsiTheme="minorHAnsi" w:cstheme="minorHAnsi"/>
                <w:lang w:val="en-GB"/>
              </w:rPr>
            </w:pPr>
          </w:p>
        </w:tc>
      </w:tr>
      <w:tr w:rsidR="00852D8E" w:rsidRPr="00852D8E" w14:paraId="56043475" w14:textId="77777777" w:rsidTr="00863165">
        <w:trPr>
          <w:trHeight w:val="20"/>
        </w:trPr>
        <w:tc>
          <w:tcPr>
            <w:tcW w:w="568" w:type="dxa"/>
          </w:tcPr>
          <w:p w14:paraId="0754DC9D" w14:textId="77777777" w:rsidR="00852D8E" w:rsidRPr="00852D8E" w:rsidRDefault="00852D8E" w:rsidP="00852D8E">
            <w:pPr>
              <w:pStyle w:val="ListParagraph"/>
              <w:numPr>
                <w:ilvl w:val="0"/>
                <w:numId w:val="2"/>
              </w:numPr>
              <w:spacing w:line="240" w:lineRule="auto"/>
              <w:rPr>
                <w:rFonts w:asciiTheme="minorHAnsi" w:hAnsiTheme="minorHAnsi" w:cstheme="minorHAnsi"/>
                <w:lang w:val="en-GB"/>
              </w:rPr>
            </w:pPr>
          </w:p>
        </w:tc>
        <w:tc>
          <w:tcPr>
            <w:tcW w:w="5745" w:type="dxa"/>
          </w:tcPr>
          <w:p w14:paraId="5DA0283C" w14:textId="467BA722" w:rsidR="00852D8E" w:rsidRPr="00852D8E" w:rsidRDefault="00DA0331" w:rsidP="00D70534">
            <w:pPr>
              <w:rPr>
                <w:rFonts w:asciiTheme="minorHAnsi" w:hAnsiTheme="minorHAnsi" w:cstheme="minorHAnsi"/>
                <w:lang w:val="en-GB"/>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605" w:type="dxa"/>
          </w:tcPr>
          <w:p w14:paraId="64345E49" w14:textId="62018364" w:rsidR="00852D8E" w:rsidRPr="00863165" w:rsidRDefault="00D9467D" w:rsidP="00D70534">
            <w:pPr>
              <w:rPr>
                <w:rFonts w:asciiTheme="minorHAnsi" w:hAnsiTheme="minorHAnsi" w:cstheme="minorHAnsi"/>
                <w:b/>
                <w:color w:val="000000" w:themeColor="text1"/>
                <w:u w:val="single"/>
                <w:lang w:val="en-GB"/>
              </w:rPr>
            </w:pPr>
            <w:r w:rsidRPr="00863165">
              <w:rPr>
                <w:rFonts w:ascii="Calibri" w:hAnsi="Calibri" w:cs="Calibri"/>
                <w:b/>
                <w:bCs/>
                <w:color w:val="000000" w:themeColor="text1"/>
                <w:lang w:val="en-GB"/>
              </w:rPr>
              <w:t>Partially</w:t>
            </w:r>
          </w:p>
        </w:tc>
        <w:tc>
          <w:tcPr>
            <w:tcW w:w="5544" w:type="dxa"/>
          </w:tcPr>
          <w:p w14:paraId="48120437" w14:textId="77777777" w:rsidR="00852D8E" w:rsidRPr="00852D8E" w:rsidRDefault="00852D8E" w:rsidP="00852D8E">
            <w:pPr>
              <w:pStyle w:val="ListParagraph"/>
              <w:numPr>
                <w:ilvl w:val="0"/>
                <w:numId w:val="1"/>
              </w:numPr>
              <w:spacing w:line="240" w:lineRule="auto"/>
              <w:ind w:hanging="252"/>
              <w:rPr>
                <w:rFonts w:asciiTheme="minorHAnsi" w:eastAsia="Times New Roman" w:hAnsiTheme="minorHAnsi" w:cstheme="minorHAnsi"/>
                <w:lang w:val="en-GB"/>
              </w:rPr>
            </w:pPr>
            <w:r w:rsidRPr="00852D8E">
              <w:rPr>
                <w:rFonts w:asciiTheme="minorHAnsi" w:eastAsia="Times New Roman" w:hAnsiTheme="minorHAnsi" w:cstheme="minorHAnsi"/>
                <w:lang w:val="en-GB"/>
              </w:rPr>
              <w:t xml:space="preserve">Convention on the Rights of the Child (CRC) </w:t>
            </w:r>
            <w:r w:rsidRPr="00852D8E">
              <w:rPr>
                <w:rFonts w:asciiTheme="minorHAnsi" w:eastAsia="Times New Roman" w:hAnsiTheme="minorHAnsi" w:cstheme="minorHAnsi"/>
                <w:color w:val="146B42"/>
                <w:lang w:val="en-GB"/>
              </w:rPr>
              <w:t>Ratified in 1990</w:t>
            </w:r>
          </w:p>
          <w:p w14:paraId="763888D2" w14:textId="77777777" w:rsidR="00852D8E" w:rsidRPr="00852D8E" w:rsidRDefault="00852D8E" w:rsidP="00852D8E">
            <w:pPr>
              <w:pStyle w:val="ListParagraph"/>
              <w:numPr>
                <w:ilvl w:val="0"/>
                <w:numId w:val="1"/>
              </w:numPr>
              <w:spacing w:line="240" w:lineRule="auto"/>
              <w:ind w:hanging="252"/>
              <w:rPr>
                <w:rFonts w:asciiTheme="minorHAnsi" w:eastAsia="Times New Roman" w:hAnsiTheme="minorHAnsi" w:cstheme="minorHAnsi"/>
                <w:lang w:val="en-GB"/>
              </w:rPr>
            </w:pPr>
            <w:r w:rsidRPr="00852D8E">
              <w:rPr>
                <w:rFonts w:asciiTheme="minorHAnsi" w:eastAsia="Times New Roman" w:hAnsiTheme="minorHAnsi" w:cstheme="minorHAnsi"/>
                <w:lang w:val="en-GB"/>
              </w:rPr>
              <w:t xml:space="preserve">Optional Protocol to the CRC on the Sale of Children, Child Prostitution and Child Pornography </w:t>
            </w:r>
            <w:r w:rsidRPr="00852D8E">
              <w:rPr>
                <w:rFonts w:asciiTheme="minorHAnsi" w:eastAsia="Times New Roman" w:hAnsiTheme="minorHAnsi" w:cstheme="minorHAnsi"/>
                <w:color w:val="146B42"/>
                <w:lang w:val="en-GB"/>
              </w:rPr>
              <w:t>Ratified in 2012</w:t>
            </w:r>
          </w:p>
          <w:p w14:paraId="71E5CE22" w14:textId="7AF63357" w:rsidR="00852D8E" w:rsidRPr="00DA0331" w:rsidRDefault="00852D8E" w:rsidP="00852D8E">
            <w:pPr>
              <w:pStyle w:val="ListParagraph"/>
              <w:numPr>
                <w:ilvl w:val="0"/>
                <w:numId w:val="1"/>
              </w:numPr>
              <w:spacing w:line="240" w:lineRule="auto"/>
              <w:ind w:hanging="252"/>
              <w:rPr>
                <w:rFonts w:asciiTheme="minorHAnsi" w:eastAsia="Times New Roman" w:hAnsiTheme="minorHAnsi" w:cstheme="minorHAnsi"/>
                <w:lang w:val="en-GB"/>
              </w:rPr>
            </w:pPr>
            <w:r w:rsidRPr="00852D8E">
              <w:rPr>
                <w:rFonts w:asciiTheme="minorHAnsi" w:eastAsia="Times New Roman" w:hAnsiTheme="minorHAnsi" w:cstheme="minorHAnsi"/>
                <w:lang w:val="en-GB"/>
              </w:rPr>
              <w:t xml:space="preserve">Optional Protocol to the CRC on a Communications Procedure (OP3 CRC) </w:t>
            </w:r>
            <w:r w:rsidRPr="00852D8E">
              <w:rPr>
                <w:rFonts w:asciiTheme="minorHAnsi" w:eastAsia="Times New Roman" w:hAnsiTheme="minorHAnsi" w:cstheme="minorHAnsi"/>
                <w:color w:val="FF0000"/>
                <w:lang w:val="en-GB"/>
              </w:rPr>
              <w:t>Not signed</w:t>
            </w:r>
          </w:p>
          <w:p w14:paraId="521C7B9A" w14:textId="67ABE2D3" w:rsidR="00DA0331" w:rsidRPr="00DA0331" w:rsidRDefault="00DA0331" w:rsidP="00DA0331">
            <w:pPr>
              <w:pStyle w:val="ListParagraph"/>
              <w:numPr>
                <w:ilvl w:val="0"/>
                <w:numId w:val="1"/>
              </w:numPr>
              <w:spacing w:line="240" w:lineRule="auto"/>
              <w:ind w:hanging="252"/>
              <w:rPr>
                <w:rFonts w:asciiTheme="minorHAnsi" w:eastAsia="Times New Roman" w:hAnsiTheme="minorHAnsi" w:cstheme="minorHAnsi"/>
                <w:lang w:val="en-GB"/>
              </w:rPr>
            </w:pPr>
            <w:r w:rsidRPr="00852D8E">
              <w:rPr>
                <w:rFonts w:asciiTheme="minorHAnsi" w:eastAsia="Times New Roman" w:hAnsiTheme="minorHAnsi" w:cstheme="minorHAnsi"/>
                <w:lang w:val="en-GB"/>
              </w:rPr>
              <w:t xml:space="preserve">ILO Convention concerning the Prohibition and Immediate Action for the Elimination of the Worst Forms of Child Labour No.182 </w:t>
            </w:r>
            <w:r w:rsidRPr="00852D8E">
              <w:rPr>
                <w:rFonts w:asciiTheme="minorHAnsi" w:eastAsia="Times New Roman" w:hAnsiTheme="minorHAnsi" w:cstheme="minorHAnsi"/>
                <w:color w:val="146B42"/>
                <w:lang w:val="en-GB"/>
              </w:rPr>
              <w:t>Ratified in 2000</w:t>
            </w:r>
          </w:p>
          <w:p w14:paraId="1821D348" w14:textId="77777777" w:rsidR="00852D8E" w:rsidRPr="00852D8E" w:rsidRDefault="00852D8E" w:rsidP="00852D8E">
            <w:pPr>
              <w:pStyle w:val="ListParagraph"/>
              <w:numPr>
                <w:ilvl w:val="0"/>
                <w:numId w:val="1"/>
              </w:numPr>
              <w:spacing w:line="240" w:lineRule="auto"/>
              <w:ind w:hanging="252"/>
              <w:rPr>
                <w:rFonts w:asciiTheme="minorHAnsi" w:eastAsia="Times New Roman" w:hAnsiTheme="minorHAnsi" w:cstheme="minorHAnsi"/>
                <w:lang w:val="en-GB"/>
              </w:rPr>
            </w:pPr>
            <w:r w:rsidRPr="00852D8E">
              <w:rPr>
                <w:rFonts w:asciiTheme="minorHAnsi" w:eastAsia="Times New Roman" w:hAnsiTheme="minorHAnsi" w:cstheme="minorHAnsi"/>
                <w:lang w:val="en-GB"/>
              </w:rPr>
              <w:t xml:space="preserve">Protocol to Prevent, Suppress and Punish Trafficking in Persons, especially Women and Children </w:t>
            </w:r>
            <w:r w:rsidRPr="00852D8E">
              <w:rPr>
                <w:rFonts w:asciiTheme="minorHAnsi" w:eastAsia="Times New Roman" w:hAnsiTheme="minorHAnsi" w:cstheme="minorHAnsi"/>
                <w:color w:val="146B42"/>
                <w:lang w:val="en-GB"/>
              </w:rPr>
              <w:t>Ratified in 2009</w:t>
            </w:r>
          </w:p>
          <w:p w14:paraId="2A2B486F" w14:textId="77777777" w:rsidR="00852D8E" w:rsidRPr="00DA0331" w:rsidRDefault="00852D8E" w:rsidP="00852D8E">
            <w:pPr>
              <w:pStyle w:val="ListParagraph"/>
              <w:numPr>
                <w:ilvl w:val="0"/>
                <w:numId w:val="1"/>
              </w:numPr>
              <w:spacing w:line="240" w:lineRule="auto"/>
              <w:ind w:hanging="252"/>
              <w:rPr>
                <w:rFonts w:asciiTheme="minorHAnsi" w:eastAsia="Times New Roman" w:hAnsiTheme="minorHAnsi" w:cstheme="minorHAnsi"/>
                <w:lang w:val="en-GB"/>
              </w:rPr>
            </w:pPr>
            <w:r w:rsidRPr="00852D8E">
              <w:rPr>
                <w:rFonts w:asciiTheme="minorHAnsi" w:eastAsia="Times New Roman" w:hAnsiTheme="minorHAnsi" w:cstheme="minorHAnsi"/>
                <w:szCs w:val="22"/>
                <w:lang w:val="en-GB"/>
              </w:rPr>
              <w:t>United Nations World Tourism Organisation (UNWTO) Framework Convention on Tourism Ethics</w:t>
            </w:r>
            <w:r w:rsidRPr="00852D8E">
              <w:rPr>
                <w:rFonts w:asciiTheme="minorHAnsi" w:eastAsia="Times New Roman" w:hAnsiTheme="minorHAnsi" w:cstheme="minorHAnsi"/>
                <w:color w:val="146B42"/>
                <w:lang w:val="en-GB"/>
              </w:rPr>
              <w:t xml:space="preserve"> Ratified in 2020</w:t>
            </w:r>
          </w:p>
          <w:p w14:paraId="5986A164" w14:textId="77777777" w:rsidR="00DA0331" w:rsidRDefault="00DA0331" w:rsidP="00DA0331">
            <w:pPr>
              <w:numPr>
                <w:ilvl w:val="0"/>
                <w:numId w:val="1"/>
              </w:numPr>
              <w:spacing w:line="240" w:lineRule="auto"/>
              <w:ind w:hanging="252"/>
              <w:contextualSpacing/>
              <w:rPr>
                <w:rFonts w:ascii="Calibri" w:eastAsia="Times New Roman" w:hAnsi="Calibri" w:cs="Calibri"/>
                <w:szCs w:val="28"/>
                <w:lang w:val="en-GB"/>
              </w:rPr>
            </w:pPr>
            <w:r w:rsidRPr="00D602BC">
              <w:rPr>
                <w:rFonts w:ascii="Calibri" w:eastAsia="Calibri" w:hAnsi="Calibri" w:cs="Calibri"/>
              </w:rPr>
              <w:t xml:space="preserve">Council of Europe Convention on the Protection of Children Against Sexual Exploitation and Sexual Abuse (Lanzarote Convention) - </w:t>
            </w:r>
            <w:r w:rsidRPr="00D602BC">
              <w:rPr>
                <w:rFonts w:ascii="Calibri" w:eastAsia="Calibri" w:hAnsi="Calibri" w:cs="Calibri"/>
                <w:color w:val="FF0000"/>
              </w:rPr>
              <w:t>Not Ratified</w:t>
            </w:r>
          </w:p>
          <w:p w14:paraId="1CEA55B8" w14:textId="77777777" w:rsidR="00DA0331" w:rsidRDefault="00DA0331" w:rsidP="00DA0331">
            <w:pPr>
              <w:numPr>
                <w:ilvl w:val="0"/>
                <w:numId w:val="1"/>
              </w:numPr>
              <w:spacing w:line="240" w:lineRule="auto"/>
              <w:ind w:hanging="252"/>
              <w:contextualSpacing/>
              <w:rPr>
                <w:rFonts w:ascii="Calibri" w:eastAsia="Times New Roman" w:hAnsi="Calibri" w:cs="Calibri"/>
                <w:szCs w:val="28"/>
                <w:lang w:val="en-GB"/>
              </w:rPr>
            </w:pPr>
            <w:r w:rsidRPr="00D602BC">
              <w:rPr>
                <w:rFonts w:ascii="Calibri" w:eastAsia="Calibri" w:hAnsi="Calibri" w:cs="Calibri"/>
              </w:rPr>
              <w:t xml:space="preserve">Council of Europe Convention on Cybercrime (Budapest Convention) – </w:t>
            </w:r>
            <w:r w:rsidRPr="00D602BC">
              <w:rPr>
                <w:rFonts w:ascii="Calibri" w:eastAsia="Calibri" w:hAnsi="Calibri" w:cs="Calibri"/>
                <w:color w:val="FF0000"/>
              </w:rPr>
              <w:t>Not ratified</w:t>
            </w:r>
          </w:p>
          <w:p w14:paraId="4B6E0009" w14:textId="330D3ECE" w:rsidR="00DA0331" w:rsidRPr="00DA0331" w:rsidRDefault="00DA0331" w:rsidP="00DA0331">
            <w:pPr>
              <w:numPr>
                <w:ilvl w:val="0"/>
                <w:numId w:val="1"/>
              </w:numPr>
              <w:spacing w:line="240" w:lineRule="auto"/>
              <w:ind w:hanging="252"/>
              <w:contextualSpacing/>
              <w:rPr>
                <w:rFonts w:ascii="Calibri" w:eastAsia="Times New Roman" w:hAnsi="Calibri" w:cs="Calibri"/>
                <w:szCs w:val="28"/>
                <w:lang w:val="en-GB"/>
              </w:rPr>
            </w:pPr>
            <w:r w:rsidRPr="00D602BC">
              <w:rPr>
                <w:rFonts w:ascii="Calibri" w:eastAsia="Calibri" w:hAnsi="Calibri" w:cs="Calibri"/>
              </w:rPr>
              <w:t xml:space="preserve">ASEAN Convention Against Trafficking in Person, Especially Women and Children – </w:t>
            </w:r>
            <w:r>
              <w:rPr>
                <w:rFonts w:ascii="Calibri" w:eastAsia="Calibri" w:hAnsi="Calibri" w:cs="Calibri"/>
                <w:color w:val="146B42"/>
              </w:rPr>
              <w:t>Ratified in 2007</w:t>
            </w:r>
          </w:p>
        </w:tc>
      </w:tr>
      <w:tr w:rsidR="00852D8E" w:rsidRPr="00852D8E" w14:paraId="7346F448" w14:textId="77777777" w:rsidTr="00863165">
        <w:trPr>
          <w:trHeight w:val="720"/>
        </w:trPr>
        <w:tc>
          <w:tcPr>
            <w:tcW w:w="568" w:type="dxa"/>
          </w:tcPr>
          <w:p w14:paraId="7A5D4883" w14:textId="77777777" w:rsidR="00852D8E" w:rsidRPr="00852D8E" w:rsidRDefault="00852D8E" w:rsidP="00852D8E">
            <w:pPr>
              <w:pStyle w:val="ListParagraph"/>
              <w:numPr>
                <w:ilvl w:val="0"/>
                <w:numId w:val="2"/>
              </w:numPr>
              <w:spacing w:line="240" w:lineRule="auto"/>
              <w:rPr>
                <w:rFonts w:asciiTheme="minorHAnsi" w:hAnsiTheme="minorHAnsi" w:cstheme="minorHAnsi"/>
                <w:lang w:val="en-GB"/>
              </w:rPr>
            </w:pPr>
          </w:p>
        </w:tc>
        <w:tc>
          <w:tcPr>
            <w:tcW w:w="5745" w:type="dxa"/>
          </w:tcPr>
          <w:p w14:paraId="67B3CBE3" w14:textId="7A321C7A" w:rsidR="00852D8E" w:rsidRPr="00852D8E" w:rsidRDefault="00D9467D" w:rsidP="00D70534">
            <w:pPr>
              <w:rPr>
                <w:rFonts w:asciiTheme="minorHAnsi" w:hAnsiTheme="minorHAnsi" w:cstheme="minorHAnsi"/>
                <w:lang w:val="en-GB"/>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605" w:type="dxa"/>
          </w:tcPr>
          <w:p w14:paraId="77A1BEDE" w14:textId="12642902" w:rsidR="00852D8E" w:rsidRPr="00863165" w:rsidRDefault="00922802" w:rsidP="00D70534">
            <w:pPr>
              <w:rPr>
                <w:rFonts w:asciiTheme="minorHAnsi" w:hAnsiTheme="minorHAnsi" w:cstheme="minorHAnsi"/>
                <w:color w:val="000000" w:themeColor="text1"/>
                <w:lang w:val="en-GB"/>
              </w:rPr>
            </w:pPr>
            <w:r w:rsidRPr="00863165">
              <w:rPr>
                <w:rFonts w:ascii="Calibri" w:hAnsi="Calibri" w:cs="Calibri"/>
                <w:b/>
                <w:bCs/>
                <w:color w:val="000000" w:themeColor="text1"/>
                <w:lang w:val="en-GB"/>
              </w:rPr>
              <w:t>Partially</w:t>
            </w:r>
          </w:p>
        </w:tc>
        <w:tc>
          <w:tcPr>
            <w:tcW w:w="5544" w:type="dxa"/>
          </w:tcPr>
          <w:p w14:paraId="1B9EC34E" w14:textId="77777777" w:rsidR="00852D8E" w:rsidRDefault="00D9467D" w:rsidP="00D70534">
            <w:pPr>
              <w:rPr>
                <w:rFonts w:asciiTheme="minorHAnsi" w:hAnsiTheme="minorHAnsi" w:cstheme="minorHAnsi"/>
                <w:lang w:val="en-GB"/>
              </w:rPr>
            </w:pPr>
            <w:r w:rsidRPr="00D9467D">
              <w:rPr>
                <w:rFonts w:asciiTheme="minorHAnsi" w:hAnsiTheme="minorHAnsi" w:cstheme="minorHAnsi"/>
                <w:lang w:val="en-GB"/>
              </w:rPr>
              <w:t xml:space="preserve">General protection to witnesses and victims is </w:t>
            </w:r>
            <w:r>
              <w:rPr>
                <w:rFonts w:asciiTheme="minorHAnsi" w:hAnsiTheme="minorHAnsi" w:cstheme="minorHAnsi"/>
                <w:lang w:val="en-GB"/>
              </w:rPr>
              <w:t xml:space="preserve">granted in Law No. 13 of 2006, </w:t>
            </w:r>
            <w:r w:rsidRPr="00D9467D">
              <w:rPr>
                <w:rFonts w:asciiTheme="minorHAnsi" w:hAnsiTheme="minorHAnsi" w:cstheme="minorHAnsi"/>
                <w:lang w:val="en-GB"/>
              </w:rPr>
              <w:t>but special protection for children can be found in the Child Protection Law. Article 59 of the Child Protection Law provides for special protection to children, including “children who find themselves being explo</w:t>
            </w:r>
            <w:r>
              <w:rPr>
                <w:rFonts w:asciiTheme="minorHAnsi" w:hAnsiTheme="minorHAnsi" w:cstheme="minorHAnsi"/>
                <w:lang w:val="en-GB"/>
              </w:rPr>
              <w:t>ited economically or sexually”,</w:t>
            </w:r>
            <w:r w:rsidRPr="00D9467D">
              <w:rPr>
                <w:rFonts w:asciiTheme="minorHAnsi" w:hAnsiTheme="minorHAnsi" w:cstheme="minorHAnsi"/>
                <w:lang w:val="en-GB"/>
              </w:rPr>
              <w:t xml:space="preserve"> “children who are victims of </w:t>
            </w:r>
            <w:r w:rsidRPr="00D9467D">
              <w:rPr>
                <w:rFonts w:asciiTheme="minorHAnsi" w:hAnsiTheme="minorHAnsi" w:cstheme="minorHAnsi"/>
                <w:lang w:val="en-GB"/>
              </w:rPr>
              <w:lastRenderedPageBreak/>
              <w:t>pornography”,  “child victims of abduction, sale and/or trafficking”,  and “child victims of sexual crimes”,  although these terms are not defined in the law. In general, this special protection consists of prompt treatment, including physical, psychological and social treatment and/or rehabilitation, and prevention of diseases and other health problems; psychosocial assistance from treatment to recovery; provision of social assistance for children who come from poor families; and providing protection and assistance in every Court proceeding.</w:t>
            </w:r>
          </w:p>
          <w:p w14:paraId="13245113" w14:textId="2DA5CA09" w:rsidR="00922802" w:rsidRPr="00922802" w:rsidRDefault="00922802" w:rsidP="00D70534">
            <w:pPr>
              <w:rPr>
                <w:rFonts w:asciiTheme="minorHAnsi" w:hAnsiTheme="minorHAnsi" w:cstheme="minorHAnsi"/>
              </w:rPr>
            </w:pPr>
            <w:r w:rsidRPr="00922802">
              <w:rPr>
                <w:rFonts w:asciiTheme="minorHAnsi" w:hAnsiTheme="minorHAnsi" w:cstheme="minorHAnsi"/>
              </w:rPr>
              <w:t>Furthermore, Article 64 of the Child Protection law, as amended in 2014, also includes the government’s responsibility of providing effective legal assistance,  but it does not clarify whether or not such assistance is free of charge.</w:t>
            </w:r>
          </w:p>
        </w:tc>
      </w:tr>
      <w:tr w:rsidR="00852D8E" w:rsidRPr="00852D8E" w14:paraId="2190EA93" w14:textId="77777777" w:rsidTr="00863165">
        <w:trPr>
          <w:trHeight w:val="576"/>
        </w:trPr>
        <w:tc>
          <w:tcPr>
            <w:tcW w:w="568" w:type="dxa"/>
          </w:tcPr>
          <w:p w14:paraId="041658B5" w14:textId="77777777" w:rsidR="00852D8E" w:rsidRPr="00852D8E" w:rsidRDefault="00852D8E" w:rsidP="00852D8E">
            <w:pPr>
              <w:pStyle w:val="ListParagraph"/>
              <w:numPr>
                <w:ilvl w:val="0"/>
                <w:numId w:val="2"/>
              </w:numPr>
              <w:spacing w:line="240" w:lineRule="auto"/>
              <w:rPr>
                <w:rFonts w:asciiTheme="minorHAnsi" w:hAnsiTheme="minorHAnsi" w:cstheme="minorHAnsi"/>
                <w:lang w:val="en-GB"/>
              </w:rPr>
            </w:pPr>
          </w:p>
        </w:tc>
        <w:tc>
          <w:tcPr>
            <w:tcW w:w="5745" w:type="dxa"/>
          </w:tcPr>
          <w:p w14:paraId="6855D69E" w14:textId="0DE004A9" w:rsidR="00852D8E" w:rsidRPr="00852D8E" w:rsidRDefault="00922802" w:rsidP="00D70534">
            <w:pPr>
              <w:rPr>
                <w:rFonts w:asciiTheme="minorHAnsi" w:hAnsiTheme="minorHAnsi" w:cstheme="minorHAnsi"/>
                <w:lang w:val="en-GB"/>
              </w:rPr>
            </w:pPr>
            <w:r w:rsidRPr="008971EB">
              <w:rPr>
                <w:rFonts w:ascii="Calibri" w:hAnsi="Calibri" w:cs="Calibri"/>
              </w:rPr>
              <w:t xml:space="preserve">Establish </w:t>
            </w:r>
            <w:r w:rsidRPr="008971EB">
              <w:rPr>
                <w:rFonts w:ascii="Calibri" w:hAnsi="Calibri" w:cs="Calibri"/>
                <w:b/>
              </w:rPr>
              <w:t>child-friendly interviewing practices by professionally trained police</w:t>
            </w:r>
            <w:r w:rsidRPr="008971EB">
              <w:rPr>
                <w:rFonts w:ascii="Calibri" w:hAnsi="Calibri" w:cs="Calibri"/>
              </w:rPr>
              <w:t>.</w:t>
            </w:r>
          </w:p>
        </w:tc>
        <w:tc>
          <w:tcPr>
            <w:tcW w:w="1605" w:type="dxa"/>
          </w:tcPr>
          <w:p w14:paraId="40175473" w14:textId="0F1B9E86" w:rsidR="00852D8E" w:rsidRPr="00863165" w:rsidRDefault="00922802" w:rsidP="00D70534">
            <w:pPr>
              <w:rPr>
                <w:rFonts w:asciiTheme="minorHAnsi" w:hAnsiTheme="minorHAnsi" w:cstheme="minorHAnsi"/>
                <w:color w:val="000000" w:themeColor="text1"/>
                <w:lang w:val="en-GB"/>
              </w:rPr>
            </w:pPr>
            <w:r w:rsidRPr="00863165">
              <w:rPr>
                <w:rFonts w:ascii="Calibri" w:hAnsi="Calibri" w:cs="Calibri"/>
                <w:b/>
                <w:bCs/>
                <w:color w:val="000000" w:themeColor="text1"/>
                <w:lang w:val="en-GB"/>
              </w:rPr>
              <w:t>No</w:t>
            </w:r>
          </w:p>
        </w:tc>
        <w:tc>
          <w:tcPr>
            <w:tcW w:w="5544" w:type="dxa"/>
          </w:tcPr>
          <w:p w14:paraId="54E2D221" w14:textId="77777777" w:rsidR="00C87B47" w:rsidRDefault="00922802" w:rsidP="00D70534">
            <w:pPr>
              <w:rPr>
                <w:rFonts w:asciiTheme="minorHAnsi" w:hAnsiTheme="minorHAnsi" w:cstheme="minorHAnsi"/>
                <w:lang w:val="en-GB"/>
              </w:rPr>
            </w:pPr>
            <w:r>
              <w:rPr>
                <w:rFonts w:asciiTheme="minorHAnsi" w:hAnsiTheme="minorHAnsi" w:cstheme="minorHAnsi"/>
                <w:lang w:val="en-GB"/>
              </w:rPr>
              <w:t>N</w:t>
            </w:r>
            <w:r w:rsidRPr="00922802">
              <w:rPr>
                <w:rFonts w:asciiTheme="minorHAnsi" w:hAnsiTheme="minorHAnsi" w:cstheme="minorHAnsi"/>
                <w:lang w:val="en-GB"/>
              </w:rPr>
              <w:t xml:space="preserve">one of the provisions contained in the Child Protection law refer to the establishment of child-friendly interview methods for child victims of OCSEA, and the only reference to judicial proceedings is found on Article 64 of the amended Child Protection law, when granting children an objective and impartial justice in a trial closed to the public. </w:t>
            </w:r>
          </w:p>
          <w:p w14:paraId="5A0F8C94" w14:textId="1464F9E4" w:rsidR="00BA6502" w:rsidRPr="00852D8E" w:rsidRDefault="00C87B47" w:rsidP="00C87B47">
            <w:pPr>
              <w:rPr>
                <w:rFonts w:asciiTheme="minorHAnsi" w:hAnsiTheme="minorHAnsi" w:cstheme="minorHAnsi"/>
                <w:lang w:val="en-GB"/>
              </w:rPr>
            </w:pPr>
            <w:r>
              <w:rPr>
                <w:rFonts w:asciiTheme="minorHAnsi" w:hAnsiTheme="minorHAnsi" w:cstheme="minorHAnsi"/>
                <w:lang w:val="en-GB"/>
              </w:rPr>
              <w:t xml:space="preserve">Indonesia </w:t>
            </w:r>
            <w:r w:rsidRPr="00C87B47">
              <w:rPr>
                <w:rFonts w:asciiTheme="minorHAnsi" w:hAnsiTheme="minorHAnsi" w:cstheme="minorHAnsi"/>
                <w:lang w:val="en-GB"/>
              </w:rPr>
              <w:t>has a ch</w:t>
            </w:r>
            <w:r>
              <w:rPr>
                <w:rFonts w:asciiTheme="minorHAnsi" w:hAnsiTheme="minorHAnsi" w:cstheme="minorHAnsi"/>
                <w:lang w:val="en-GB"/>
              </w:rPr>
              <w:t>ild protection commission (KPAI) that operates b</w:t>
            </w:r>
            <w:r w:rsidRPr="00C87B47">
              <w:rPr>
                <w:rFonts w:asciiTheme="minorHAnsi" w:hAnsiTheme="minorHAnsi" w:cstheme="minorHAnsi"/>
                <w:lang w:val="en-GB"/>
              </w:rPr>
              <w:t>ased on the revision of the child pr</w:t>
            </w:r>
            <w:r>
              <w:rPr>
                <w:rFonts w:asciiTheme="minorHAnsi" w:hAnsiTheme="minorHAnsi" w:cstheme="minorHAnsi"/>
                <w:lang w:val="en-GB"/>
              </w:rPr>
              <w:t>otection law (UU No. 35/2014). KPAI has the task of</w:t>
            </w:r>
            <w:r w:rsidRPr="00C87B47">
              <w:rPr>
                <w:rFonts w:asciiTheme="minorHAnsi" w:hAnsiTheme="minorHAnsi" w:cstheme="minorHAnsi"/>
                <w:lang w:val="en-GB"/>
              </w:rPr>
              <w:t xml:space="preserve"> supervising the implementation of the protection and fulfilment</w:t>
            </w:r>
            <w:r>
              <w:rPr>
                <w:rFonts w:asciiTheme="minorHAnsi" w:hAnsiTheme="minorHAnsi" w:cstheme="minorHAnsi"/>
                <w:lang w:val="en-GB"/>
              </w:rPr>
              <w:t xml:space="preserve"> of children's rights, providing</w:t>
            </w:r>
            <w:r w:rsidRPr="00C87B47">
              <w:rPr>
                <w:rFonts w:asciiTheme="minorHAnsi" w:hAnsiTheme="minorHAnsi" w:cstheme="minorHAnsi"/>
                <w:lang w:val="en-GB"/>
              </w:rPr>
              <w:t xml:space="preserve"> input and suggestions in the formulation of policies </w:t>
            </w:r>
            <w:r>
              <w:rPr>
                <w:rFonts w:asciiTheme="minorHAnsi" w:hAnsiTheme="minorHAnsi" w:cstheme="minorHAnsi"/>
                <w:lang w:val="en-GB"/>
              </w:rPr>
              <w:t xml:space="preserve">and </w:t>
            </w:r>
            <w:r w:rsidRPr="00C87B47">
              <w:rPr>
                <w:rFonts w:asciiTheme="minorHAnsi" w:hAnsiTheme="minorHAnsi" w:cstheme="minorHAnsi"/>
                <w:lang w:val="en-GB"/>
              </w:rPr>
              <w:t>collect</w:t>
            </w:r>
            <w:r>
              <w:rPr>
                <w:rFonts w:asciiTheme="minorHAnsi" w:hAnsiTheme="minorHAnsi" w:cstheme="minorHAnsi"/>
                <w:lang w:val="en-GB"/>
              </w:rPr>
              <w:t>ing</w:t>
            </w:r>
            <w:r w:rsidRPr="00C87B47">
              <w:rPr>
                <w:rFonts w:asciiTheme="minorHAnsi" w:hAnsiTheme="minorHAnsi" w:cstheme="minorHAnsi"/>
                <w:lang w:val="en-GB"/>
              </w:rPr>
              <w:t xml:space="preserve"> </w:t>
            </w:r>
            <w:r>
              <w:rPr>
                <w:rFonts w:asciiTheme="minorHAnsi" w:hAnsiTheme="minorHAnsi" w:cstheme="minorHAnsi"/>
                <w:lang w:val="en-GB"/>
              </w:rPr>
              <w:t xml:space="preserve">data and information regarding child protection. A </w:t>
            </w:r>
            <w:r w:rsidR="00BA6502" w:rsidRPr="00C87B47">
              <w:rPr>
                <w:rFonts w:asciiTheme="minorHAnsi" w:hAnsiTheme="minorHAnsi" w:cstheme="minorHAnsi"/>
                <w:lang w:val="en-GB"/>
              </w:rPr>
              <w:t>Child Advocacy Center does not exist in the country.</w:t>
            </w:r>
          </w:p>
        </w:tc>
      </w:tr>
      <w:tr w:rsidR="00852D8E" w:rsidRPr="00852D8E" w14:paraId="36417FF8" w14:textId="77777777" w:rsidTr="00863165">
        <w:trPr>
          <w:trHeight w:val="576"/>
        </w:trPr>
        <w:tc>
          <w:tcPr>
            <w:tcW w:w="568" w:type="dxa"/>
          </w:tcPr>
          <w:p w14:paraId="4F83D6F4" w14:textId="77777777" w:rsidR="00852D8E" w:rsidRPr="00852D8E" w:rsidRDefault="00852D8E" w:rsidP="00852D8E">
            <w:pPr>
              <w:pStyle w:val="ListParagraph"/>
              <w:numPr>
                <w:ilvl w:val="0"/>
                <w:numId w:val="2"/>
              </w:numPr>
              <w:spacing w:line="240" w:lineRule="auto"/>
              <w:rPr>
                <w:rFonts w:asciiTheme="minorHAnsi" w:hAnsiTheme="minorHAnsi" w:cstheme="minorHAnsi"/>
                <w:lang w:val="en-GB"/>
              </w:rPr>
            </w:pPr>
          </w:p>
        </w:tc>
        <w:tc>
          <w:tcPr>
            <w:tcW w:w="5745" w:type="dxa"/>
          </w:tcPr>
          <w:p w14:paraId="0FDA2868" w14:textId="7D57A19A" w:rsidR="00852D8E" w:rsidRPr="00852D8E" w:rsidRDefault="00922802" w:rsidP="00D70534">
            <w:pPr>
              <w:rPr>
                <w:rFonts w:asciiTheme="minorHAnsi" w:hAnsiTheme="minorHAnsi" w:cstheme="minorHAns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605" w:type="dxa"/>
          </w:tcPr>
          <w:p w14:paraId="3F4CE87C" w14:textId="71D8C5DD" w:rsidR="00852D8E" w:rsidRPr="00863165" w:rsidRDefault="00922802" w:rsidP="00D70534">
            <w:pPr>
              <w:rPr>
                <w:rFonts w:asciiTheme="minorHAnsi" w:hAnsiTheme="minorHAnsi" w:cstheme="minorHAnsi"/>
                <w:b/>
                <w:color w:val="000000" w:themeColor="text1"/>
                <w:lang w:val="en-GB"/>
              </w:rPr>
            </w:pPr>
            <w:r w:rsidRPr="00863165">
              <w:rPr>
                <w:rFonts w:ascii="Calibri" w:hAnsi="Calibri" w:cs="Calibri"/>
                <w:b/>
                <w:bCs/>
                <w:color w:val="000000" w:themeColor="text1"/>
                <w:lang w:val="en-GB"/>
              </w:rPr>
              <w:t>Yes</w:t>
            </w:r>
          </w:p>
        </w:tc>
        <w:tc>
          <w:tcPr>
            <w:tcW w:w="5544" w:type="dxa"/>
          </w:tcPr>
          <w:p w14:paraId="25F800C0" w14:textId="79EAEB08" w:rsidR="00852D8E" w:rsidRPr="00922802" w:rsidRDefault="00922802" w:rsidP="00922802">
            <w:pPr>
              <w:rPr>
                <w:rFonts w:asciiTheme="minorHAnsi" w:hAnsiTheme="minorHAnsi" w:cstheme="minorHAnsi"/>
              </w:rPr>
            </w:pPr>
            <w:r w:rsidRPr="00922802">
              <w:rPr>
                <w:rFonts w:asciiTheme="minorHAnsi" w:hAnsiTheme="minorHAnsi" w:cstheme="minorHAnsi"/>
              </w:rPr>
              <w:t xml:space="preserve">Article 44 of the Child Protection law, as amended in 2014, includes rehabilitation in the health care services that the government must ensure and also incorporates psychological and social treatment and/or rehabilitation as part of the special protection awarded to child victims of </w:t>
            </w:r>
            <w:r>
              <w:rPr>
                <w:rFonts w:asciiTheme="minorHAnsi" w:hAnsiTheme="minorHAnsi" w:cstheme="minorHAnsi"/>
              </w:rPr>
              <w:t>child sexual abuse material,</w:t>
            </w:r>
            <w:r w:rsidRPr="00922802">
              <w:rPr>
                <w:rFonts w:asciiTheme="minorHAnsi" w:hAnsiTheme="minorHAnsi" w:cstheme="minorHAnsi"/>
              </w:rPr>
              <w:t xml:space="preserve"> sexual crimes and sexual exploitation.  Accordingly, Article 67B of the Child Protection Law, as amended in 2014, states that “special protection for children who are victims of pornography, as referred to in Article 59 paragraph (2) letter f, is implemented through efforts to foster, assist and recover social, physical and mental health”  (unofficial translation).</w:t>
            </w:r>
          </w:p>
        </w:tc>
      </w:tr>
      <w:tr w:rsidR="00852D8E" w:rsidRPr="00852D8E" w14:paraId="23248CD0" w14:textId="77777777" w:rsidTr="00863165">
        <w:trPr>
          <w:trHeight w:val="576"/>
        </w:trPr>
        <w:tc>
          <w:tcPr>
            <w:tcW w:w="568" w:type="dxa"/>
          </w:tcPr>
          <w:p w14:paraId="09D72C1B" w14:textId="77777777" w:rsidR="00852D8E" w:rsidRPr="00852D8E" w:rsidRDefault="00852D8E" w:rsidP="00852D8E">
            <w:pPr>
              <w:pStyle w:val="ListParagraph"/>
              <w:numPr>
                <w:ilvl w:val="0"/>
                <w:numId w:val="2"/>
              </w:numPr>
              <w:spacing w:line="240" w:lineRule="auto"/>
              <w:rPr>
                <w:rFonts w:asciiTheme="minorHAnsi" w:hAnsiTheme="minorHAnsi" w:cstheme="minorHAnsi"/>
                <w:lang w:val="en-GB"/>
              </w:rPr>
            </w:pPr>
          </w:p>
        </w:tc>
        <w:tc>
          <w:tcPr>
            <w:tcW w:w="5745" w:type="dxa"/>
          </w:tcPr>
          <w:p w14:paraId="1EC3C793" w14:textId="635410B8" w:rsidR="00852D8E" w:rsidRPr="00852D8E" w:rsidRDefault="00922802" w:rsidP="00D70534">
            <w:pPr>
              <w:rPr>
                <w:rFonts w:asciiTheme="minorHAnsi" w:hAnsiTheme="minorHAnsi" w:cstheme="minorHAns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(e.g. hotline)</w:t>
            </w:r>
            <w:r w:rsidRPr="003F4A91">
              <w:rPr>
                <w:rFonts w:ascii="Calibri" w:eastAsia="Calibri" w:hAnsi="Calibri" w:cs="Calibri"/>
              </w:rPr>
              <w:t xml:space="preserve"> that coordinates access to services, and helps to overcome reluctance to report sexual exploitation of children.</w:t>
            </w:r>
          </w:p>
        </w:tc>
        <w:tc>
          <w:tcPr>
            <w:tcW w:w="1605" w:type="dxa"/>
          </w:tcPr>
          <w:p w14:paraId="57CC1BFB" w14:textId="2549BCF5" w:rsidR="00852D8E" w:rsidRPr="00863165" w:rsidRDefault="00922802" w:rsidP="00D70534">
            <w:pPr>
              <w:rPr>
                <w:rFonts w:asciiTheme="minorHAnsi" w:hAnsiTheme="minorHAnsi" w:cstheme="minorHAnsi"/>
                <w:b/>
                <w:color w:val="000000" w:themeColor="text1"/>
                <w:lang w:val="en-GB"/>
              </w:rPr>
            </w:pPr>
            <w:r w:rsidRPr="00863165">
              <w:rPr>
                <w:rFonts w:ascii="Calibri" w:hAnsi="Calibri" w:cs="Calibri"/>
                <w:b/>
                <w:bCs/>
                <w:color w:val="000000" w:themeColor="text1"/>
                <w:lang w:val="en-GB"/>
              </w:rPr>
              <w:t>Yes</w:t>
            </w:r>
          </w:p>
        </w:tc>
        <w:tc>
          <w:tcPr>
            <w:tcW w:w="5544" w:type="dxa"/>
          </w:tcPr>
          <w:p w14:paraId="4C5A5442" w14:textId="2B1245E7" w:rsidR="00852D8E" w:rsidRPr="00852D8E" w:rsidRDefault="00852D8E" w:rsidP="00D70534">
            <w:pPr>
              <w:rPr>
                <w:rFonts w:asciiTheme="minorHAnsi" w:hAnsiTheme="minorHAnsi" w:cstheme="minorHAnsi"/>
              </w:rPr>
            </w:pPr>
            <w:r w:rsidRPr="00852D8E">
              <w:rPr>
                <w:rFonts w:asciiTheme="minorHAnsi" w:hAnsiTheme="minorHAnsi" w:cstheme="minorHAnsi"/>
              </w:rPr>
              <w:t xml:space="preserve">The child helpline TESA 129 is operative since 2005.  </w:t>
            </w:r>
          </w:p>
          <w:p w14:paraId="405F4D48" w14:textId="77777777" w:rsidR="00852D8E" w:rsidRPr="00852D8E" w:rsidRDefault="00852D8E" w:rsidP="00D70534">
            <w:pPr>
              <w:rPr>
                <w:rFonts w:asciiTheme="minorHAnsi" w:hAnsiTheme="minorHAnsi" w:cstheme="minorHAnsi"/>
                <w:lang w:val="en-GB"/>
              </w:rPr>
            </w:pPr>
          </w:p>
        </w:tc>
      </w:tr>
      <w:tr w:rsidR="00852D8E" w:rsidRPr="00852D8E" w14:paraId="44EE6BEF" w14:textId="77777777" w:rsidTr="00863165">
        <w:trPr>
          <w:trHeight w:val="576"/>
        </w:trPr>
        <w:tc>
          <w:tcPr>
            <w:tcW w:w="568" w:type="dxa"/>
          </w:tcPr>
          <w:p w14:paraId="4C3AD03E" w14:textId="77777777" w:rsidR="00852D8E" w:rsidRPr="00852D8E" w:rsidRDefault="00852D8E" w:rsidP="00852D8E">
            <w:pPr>
              <w:pStyle w:val="ListParagraph"/>
              <w:numPr>
                <w:ilvl w:val="0"/>
                <w:numId w:val="2"/>
              </w:numPr>
              <w:spacing w:line="240" w:lineRule="auto"/>
              <w:rPr>
                <w:rFonts w:asciiTheme="minorHAnsi" w:hAnsiTheme="minorHAnsi" w:cstheme="minorHAnsi"/>
                <w:lang w:val="en-GB"/>
              </w:rPr>
            </w:pPr>
          </w:p>
        </w:tc>
        <w:tc>
          <w:tcPr>
            <w:tcW w:w="5745" w:type="dxa"/>
          </w:tcPr>
          <w:p w14:paraId="0753BBB6" w14:textId="5A6E1CC0" w:rsidR="00852D8E" w:rsidRPr="00852D8E" w:rsidRDefault="00922802" w:rsidP="00D70534">
            <w:pPr>
              <w:rPr>
                <w:rFonts w:asciiTheme="minorHAnsi" w:hAnsiTheme="minorHAnsi" w:cstheme="minorHAns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preservation laws,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r>
              <w:rPr>
                <w:rFonts w:ascii="Calibri" w:eastAsia="Calibri" w:hAnsi="Calibri" w:cs="Calibri"/>
              </w:rPr>
              <w:t>.</w:t>
            </w:r>
          </w:p>
        </w:tc>
        <w:tc>
          <w:tcPr>
            <w:tcW w:w="1605" w:type="dxa"/>
          </w:tcPr>
          <w:p w14:paraId="3254D8C9" w14:textId="4E60B89B" w:rsidR="00852D8E" w:rsidRPr="00863165" w:rsidRDefault="00922802" w:rsidP="00D70534">
            <w:pPr>
              <w:rPr>
                <w:rFonts w:asciiTheme="minorHAnsi" w:hAnsiTheme="minorHAnsi" w:cstheme="minorHAnsi"/>
                <w:b/>
                <w:color w:val="000000" w:themeColor="text1"/>
                <w:lang w:val="en-GB"/>
              </w:rPr>
            </w:pPr>
            <w:r w:rsidRPr="00863165">
              <w:rPr>
                <w:rFonts w:ascii="Calibri" w:hAnsi="Calibri" w:cs="Calibri"/>
                <w:b/>
                <w:bCs/>
                <w:color w:val="000000" w:themeColor="text1"/>
                <w:lang w:val="en-GB"/>
              </w:rPr>
              <w:t>Yes</w:t>
            </w:r>
          </w:p>
        </w:tc>
        <w:tc>
          <w:tcPr>
            <w:tcW w:w="5544" w:type="dxa"/>
          </w:tcPr>
          <w:p w14:paraId="7C0D5C2D" w14:textId="6F96DE6F" w:rsidR="00852D8E" w:rsidRPr="00852D8E" w:rsidRDefault="00852D8E" w:rsidP="00D70534">
            <w:pPr>
              <w:spacing w:after="200"/>
              <w:jc w:val="both"/>
              <w:rPr>
                <w:rFonts w:asciiTheme="minorHAnsi" w:hAnsiTheme="minorHAnsi" w:cstheme="minorHAnsi"/>
              </w:rPr>
            </w:pPr>
            <w:r w:rsidRPr="00852D8E">
              <w:rPr>
                <w:rFonts w:asciiTheme="minorHAnsi" w:hAnsiTheme="minorHAnsi" w:cstheme="minorHAnsi"/>
              </w:rPr>
              <w:t xml:space="preserve">The Electronic Information and Transactions Law and the Regulation No. 82 of 2012 concerning Electronic System and Transaction Operation provide for data retention. According to Article 16 (1) of the EIT Law and Article 21 of the Regulation No. 82/2012 concerning Electronic System and Transaction Operation, electronic systems operators shall redisplay electronic information and/or electronic documents completely in accordance with the format and retention period determined based on the Regulation, to the extent not provided otherwise by separated laws. </w:t>
            </w:r>
          </w:p>
          <w:p w14:paraId="27961D4A" w14:textId="77777777" w:rsidR="00852D8E" w:rsidRPr="00852D8E" w:rsidRDefault="00852D8E" w:rsidP="00D70534">
            <w:pPr>
              <w:rPr>
                <w:rFonts w:asciiTheme="minorHAnsi" w:hAnsiTheme="minorHAnsi" w:cstheme="minorHAnsi"/>
                <w:lang w:val="en-GB"/>
              </w:rPr>
            </w:pPr>
          </w:p>
        </w:tc>
      </w:tr>
      <w:tr w:rsidR="00852D8E" w:rsidRPr="00852D8E" w14:paraId="234C0DBC" w14:textId="77777777" w:rsidTr="00863165">
        <w:trPr>
          <w:trHeight w:val="864"/>
        </w:trPr>
        <w:tc>
          <w:tcPr>
            <w:tcW w:w="568" w:type="dxa"/>
          </w:tcPr>
          <w:p w14:paraId="09AF97AE" w14:textId="77777777" w:rsidR="00852D8E" w:rsidRPr="00852D8E" w:rsidRDefault="00852D8E" w:rsidP="00852D8E">
            <w:pPr>
              <w:pStyle w:val="ListParagraph"/>
              <w:numPr>
                <w:ilvl w:val="0"/>
                <w:numId w:val="2"/>
              </w:numPr>
              <w:spacing w:line="240" w:lineRule="auto"/>
              <w:rPr>
                <w:rFonts w:asciiTheme="minorHAnsi" w:hAnsiTheme="minorHAnsi" w:cstheme="minorHAnsi"/>
                <w:lang w:val="en-GB"/>
              </w:rPr>
            </w:pPr>
          </w:p>
        </w:tc>
        <w:tc>
          <w:tcPr>
            <w:tcW w:w="5745" w:type="dxa"/>
          </w:tcPr>
          <w:p w14:paraId="305A983F" w14:textId="4C9AD93C" w:rsidR="00852D8E" w:rsidRPr="00852D8E" w:rsidRDefault="00922802" w:rsidP="00D70534">
            <w:pPr>
              <w:rPr>
                <w:rFonts w:asciiTheme="minorHAnsi" w:hAnsiTheme="minorHAnsi" w:cstheme="minorHAnsi"/>
                <w:lang w:val="en-GB"/>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w:t>
            </w:r>
            <w:r w:rsidRPr="005B171A">
              <w:rPr>
                <w:rFonts w:ascii="Calibri" w:eastAsia="Calibri" w:hAnsi="Calibri" w:cs="Calibri"/>
              </w:rPr>
              <w:lastRenderedPageBreak/>
              <w:t>national courts from convicted perpetrators who harmed them and/or through state-managed funds.</w:t>
            </w:r>
            <w:r w:rsidRPr="00680020">
              <w:rPr>
                <w:rFonts w:asciiTheme="minorHAnsi" w:hAnsiTheme="minorHAnsi" w:cstheme="minorHAnsi"/>
                <w:lang w:val="en-GB"/>
              </w:rPr>
              <w:t xml:space="preserve"> </w:t>
            </w:r>
            <w:r w:rsidRPr="001C2BA0">
              <w:rPr>
                <w:rFonts w:ascii="Calibri" w:hAnsi="Calibri" w:cs="Calibri"/>
                <w:lang w:val="en-GB"/>
              </w:rPr>
              <w:t xml:space="preserve"> </w:t>
            </w:r>
          </w:p>
        </w:tc>
        <w:tc>
          <w:tcPr>
            <w:tcW w:w="1605" w:type="dxa"/>
          </w:tcPr>
          <w:p w14:paraId="1E8F7EE8" w14:textId="77777777" w:rsidR="00852D8E" w:rsidRPr="00863165" w:rsidRDefault="00852D8E" w:rsidP="00D70534">
            <w:pPr>
              <w:rPr>
                <w:rFonts w:asciiTheme="minorHAnsi" w:hAnsiTheme="minorHAnsi" w:cstheme="minorHAnsi"/>
                <w:color w:val="000000" w:themeColor="text1"/>
                <w:lang w:val="en-GB"/>
              </w:rPr>
            </w:pPr>
            <w:r w:rsidRPr="00863165">
              <w:rPr>
                <w:rFonts w:asciiTheme="minorHAnsi" w:hAnsiTheme="minorHAnsi" w:cstheme="minorHAnsi"/>
                <w:b/>
                <w:color w:val="000000" w:themeColor="text1"/>
                <w:lang w:val="en-GB"/>
              </w:rPr>
              <w:lastRenderedPageBreak/>
              <w:t>Yes</w:t>
            </w:r>
          </w:p>
        </w:tc>
        <w:tc>
          <w:tcPr>
            <w:tcW w:w="5544" w:type="dxa"/>
          </w:tcPr>
          <w:p w14:paraId="020451D8" w14:textId="77777777" w:rsidR="00852D8E" w:rsidRPr="00852D8E" w:rsidRDefault="00852D8E" w:rsidP="00D70534">
            <w:pPr>
              <w:rPr>
                <w:rFonts w:asciiTheme="minorHAnsi" w:hAnsiTheme="minorHAnsi" w:cstheme="minorHAnsi"/>
                <w:lang w:val="en-GB"/>
              </w:rPr>
            </w:pPr>
            <w:r w:rsidRPr="00852D8E">
              <w:rPr>
                <w:rFonts w:asciiTheme="minorHAnsi" w:hAnsiTheme="minorHAnsi" w:cstheme="minorHAnsi"/>
                <w:lang w:val="en-GB"/>
              </w:rPr>
              <w:t>Article 98 of the Criminal Procedural Code allows a victim to sue for compensation for any loss arising out of any crime during criminal proceedings regarding that crime.</w:t>
            </w:r>
          </w:p>
          <w:p w14:paraId="7AC46A7C" w14:textId="77777777" w:rsidR="00852D8E" w:rsidRPr="00852D8E" w:rsidRDefault="00852D8E" w:rsidP="00D70534">
            <w:pPr>
              <w:rPr>
                <w:rFonts w:asciiTheme="minorHAnsi" w:hAnsiTheme="minorHAnsi" w:cstheme="minorHAnsi"/>
                <w:lang w:val="en-GB"/>
              </w:rPr>
            </w:pPr>
          </w:p>
          <w:p w14:paraId="5C361EE5" w14:textId="77777777" w:rsidR="00852D8E" w:rsidRPr="00852D8E" w:rsidRDefault="00852D8E" w:rsidP="00D70534">
            <w:pPr>
              <w:jc w:val="both"/>
              <w:rPr>
                <w:rFonts w:asciiTheme="minorHAnsi" w:hAnsiTheme="minorHAnsi" w:cstheme="minorHAnsi"/>
                <w:lang w:val="en-GB"/>
              </w:rPr>
            </w:pPr>
            <w:r w:rsidRPr="00852D8E">
              <w:rPr>
                <w:rFonts w:asciiTheme="minorHAnsi" w:hAnsiTheme="minorHAnsi" w:cstheme="minorHAnsi"/>
              </w:rPr>
              <w:t xml:space="preserve">According to Article 71D of the Child Protection Law, as amended in 2014, every child victim of child sexual abuse material, children exploited economically and/or sexually or child victims of sexual crimes have the right to submit a complaint before the Courts </w:t>
            </w:r>
            <w:r w:rsidRPr="00922802">
              <w:rPr>
                <w:rFonts w:asciiTheme="minorHAnsi" w:hAnsiTheme="minorHAnsi" w:cstheme="minorHAnsi"/>
              </w:rPr>
              <w:t xml:space="preserve">claiming the </w:t>
            </w:r>
            <w:r w:rsidRPr="00922802">
              <w:rPr>
                <w:rFonts w:asciiTheme="minorHAnsi" w:hAnsiTheme="minorHAnsi" w:cstheme="minorHAnsi"/>
                <w:bCs/>
              </w:rPr>
              <w:t>restitution of the damages</w:t>
            </w:r>
            <w:r w:rsidRPr="00922802">
              <w:rPr>
                <w:rFonts w:asciiTheme="minorHAnsi" w:hAnsiTheme="minorHAnsi" w:cstheme="minorHAnsi"/>
              </w:rPr>
              <w:t xml:space="preserve"> and the responsibility of the perpetrators.</w:t>
            </w:r>
          </w:p>
        </w:tc>
      </w:tr>
    </w:tbl>
    <w:p w14:paraId="37B7B745" w14:textId="77777777" w:rsidR="00852D8E" w:rsidRPr="00852D8E" w:rsidRDefault="00852D8E" w:rsidP="00852D8E">
      <w:pPr>
        <w:rPr>
          <w:rFonts w:asciiTheme="minorHAnsi" w:hAnsiTheme="minorHAnsi" w:cstheme="minorHAnsi"/>
          <w:b/>
          <w:color w:val="136B41"/>
          <w:sz w:val="32"/>
          <w:szCs w:val="32"/>
          <w:lang w:val="en-GB"/>
        </w:rPr>
      </w:pPr>
    </w:p>
    <w:p w14:paraId="1DFEA0F8" w14:textId="77777777" w:rsidR="00852D8E" w:rsidRPr="00852D8E" w:rsidRDefault="00852D8E" w:rsidP="00852D8E">
      <w:pPr>
        <w:rPr>
          <w:rFonts w:asciiTheme="minorHAnsi" w:hAnsiTheme="minorHAnsi" w:cstheme="minorHAnsi"/>
          <w:b/>
          <w:color w:val="136B41"/>
          <w:lang w:val="en-GB"/>
        </w:rPr>
      </w:pPr>
      <w:r w:rsidRPr="00852D8E">
        <w:rPr>
          <w:rFonts w:asciiTheme="minorHAnsi" w:hAnsiTheme="minorHAnsi" w:cstheme="minorHAnsi"/>
          <w:b/>
          <w:color w:val="136B41"/>
          <w:lang w:val="en-GB"/>
        </w:rPr>
        <w:t>Legal sources:</w:t>
      </w:r>
    </w:p>
    <w:p w14:paraId="4C7207D6" w14:textId="77777777" w:rsidR="00852D8E" w:rsidRPr="00852D8E" w:rsidRDefault="00D75D75" w:rsidP="00852D8E">
      <w:pPr>
        <w:rPr>
          <w:rStyle w:val="Hyperlink"/>
          <w:rFonts w:asciiTheme="minorHAnsi" w:hAnsiTheme="minorHAnsi" w:cstheme="minorHAnsi"/>
        </w:rPr>
      </w:pPr>
      <w:hyperlink r:id="rId13" w:history="1">
        <w:r w:rsidR="00852D8E" w:rsidRPr="00852D8E">
          <w:rPr>
            <w:rStyle w:val="Hyperlink"/>
            <w:rFonts w:asciiTheme="minorHAnsi" w:hAnsiTheme="minorHAnsi" w:cstheme="minorHAnsi"/>
          </w:rPr>
          <w:t>Act of the Republic of Indonesia No. 13 of 2003 concerning Manpower</w:t>
        </w:r>
      </w:hyperlink>
    </w:p>
    <w:p w14:paraId="4DA369FE" w14:textId="77777777" w:rsidR="00852D8E" w:rsidRPr="00852D8E" w:rsidRDefault="00D75D75" w:rsidP="00852D8E">
      <w:pPr>
        <w:rPr>
          <w:rStyle w:val="Hyperlink"/>
          <w:rFonts w:asciiTheme="minorHAnsi" w:hAnsiTheme="minorHAnsi" w:cstheme="minorHAnsi"/>
        </w:rPr>
      </w:pPr>
      <w:hyperlink r:id="rId14" w:history="1">
        <w:r w:rsidR="00852D8E" w:rsidRPr="00852D8E">
          <w:rPr>
            <w:rStyle w:val="Hyperlink"/>
            <w:rFonts w:asciiTheme="minorHAnsi" w:hAnsiTheme="minorHAnsi" w:cstheme="minorHAnsi"/>
          </w:rPr>
          <w:t>Child Protection Law (as amended in 2014)</w:t>
        </w:r>
      </w:hyperlink>
    </w:p>
    <w:p w14:paraId="11261988" w14:textId="77777777" w:rsidR="00852D8E" w:rsidRPr="00852D8E" w:rsidRDefault="00D75D75" w:rsidP="00852D8E">
      <w:pPr>
        <w:rPr>
          <w:rStyle w:val="Hyperlink"/>
          <w:rFonts w:asciiTheme="minorHAnsi" w:hAnsiTheme="minorHAnsi" w:cstheme="minorHAnsi"/>
        </w:rPr>
      </w:pPr>
      <w:hyperlink r:id="rId15" w:history="1">
        <w:r w:rsidR="00852D8E" w:rsidRPr="00852D8E">
          <w:rPr>
            <w:rStyle w:val="Hyperlink"/>
            <w:rFonts w:asciiTheme="minorHAnsi" w:hAnsiTheme="minorHAnsi" w:cstheme="minorHAnsi"/>
          </w:rPr>
          <w:t>Law No. 7 of 1979 concerning Extradition</w:t>
        </w:r>
      </w:hyperlink>
    </w:p>
    <w:p w14:paraId="7DAE2B3A" w14:textId="77777777" w:rsidR="00852D8E" w:rsidRPr="00852D8E" w:rsidRDefault="00D75D75" w:rsidP="00852D8E">
      <w:pPr>
        <w:rPr>
          <w:rStyle w:val="Hyperlink"/>
          <w:rFonts w:asciiTheme="minorHAnsi" w:hAnsiTheme="minorHAnsi" w:cstheme="minorHAnsi"/>
        </w:rPr>
      </w:pPr>
      <w:hyperlink r:id="rId16" w:history="1">
        <w:r w:rsidR="00852D8E" w:rsidRPr="00852D8E">
          <w:rPr>
            <w:rStyle w:val="Hyperlink"/>
            <w:rFonts w:asciiTheme="minorHAnsi" w:hAnsiTheme="minorHAnsi" w:cstheme="minorHAnsi"/>
          </w:rPr>
          <w:t>Law No. 13 of 2006 concerning Protection of Witness and Victim</w:t>
        </w:r>
      </w:hyperlink>
    </w:p>
    <w:p w14:paraId="1DBD5273" w14:textId="77777777" w:rsidR="00852D8E" w:rsidRPr="00852D8E" w:rsidRDefault="00D75D75" w:rsidP="00852D8E">
      <w:pPr>
        <w:rPr>
          <w:rStyle w:val="Hyperlink"/>
          <w:rFonts w:asciiTheme="minorHAnsi" w:hAnsiTheme="minorHAnsi" w:cstheme="minorHAnsi"/>
        </w:rPr>
      </w:pPr>
      <w:hyperlink r:id="rId17" w:history="1">
        <w:r w:rsidR="00852D8E" w:rsidRPr="00852D8E">
          <w:rPr>
            <w:rStyle w:val="Hyperlink"/>
            <w:rFonts w:asciiTheme="minorHAnsi" w:hAnsiTheme="minorHAnsi" w:cstheme="minorHAnsi"/>
          </w:rPr>
          <w:t>Law No. 21 of 2007 on the Eradication of the Criminal Act of Trafficking in Persons</w:t>
        </w:r>
      </w:hyperlink>
    </w:p>
    <w:p w14:paraId="0310BB5B" w14:textId="77777777" w:rsidR="00852D8E" w:rsidRPr="00852D8E" w:rsidRDefault="00D75D75" w:rsidP="00852D8E">
      <w:pPr>
        <w:rPr>
          <w:rStyle w:val="Hyperlink"/>
          <w:rFonts w:asciiTheme="minorHAnsi" w:hAnsiTheme="minorHAnsi" w:cstheme="minorHAnsi"/>
        </w:rPr>
      </w:pPr>
      <w:hyperlink r:id="rId18" w:history="1">
        <w:r w:rsidR="00852D8E" w:rsidRPr="00852D8E">
          <w:rPr>
            <w:rStyle w:val="Hyperlink"/>
            <w:rFonts w:asciiTheme="minorHAnsi" w:hAnsiTheme="minorHAnsi" w:cstheme="minorHAnsi"/>
          </w:rPr>
          <w:t>Law No. 21 of 2007 on the Eradication of Human Trafficking Crimes</w:t>
        </w:r>
      </w:hyperlink>
    </w:p>
    <w:p w14:paraId="33F040AA" w14:textId="77777777" w:rsidR="00852D8E" w:rsidRPr="00852D8E" w:rsidRDefault="00D75D75" w:rsidP="00852D8E">
      <w:pPr>
        <w:rPr>
          <w:rStyle w:val="Hyperlink"/>
          <w:rFonts w:asciiTheme="minorHAnsi" w:hAnsiTheme="minorHAnsi" w:cstheme="minorHAnsi"/>
        </w:rPr>
      </w:pPr>
      <w:hyperlink r:id="rId19" w:history="1">
        <w:r w:rsidR="00852D8E" w:rsidRPr="00852D8E">
          <w:rPr>
            <w:rStyle w:val="Hyperlink"/>
            <w:rFonts w:asciiTheme="minorHAnsi" w:hAnsiTheme="minorHAnsi" w:cstheme="minorHAnsi"/>
          </w:rPr>
          <w:t>Law No. 44 of 2008 on Pornography</w:t>
        </w:r>
      </w:hyperlink>
    </w:p>
    <w:p w14:paraId="22ED92DA" w14:textId="77777777" w:rsidR="00852D8E" w:rsidRPr="00852D8E" w:rsidRDefault="00D75D75" w:rsidP="00852D8E">
      <w:pPr>
        <w:rPr>
          <w:rStyle w:val="Hyperlink"/>
          <w:rFonts w:asciiTheme="minorHAnsi" w:hAnsiTheme="minorHAnsi" w:cstheme="minorHAnsi"/>
        </w:rPr>
      </w:pPr>
      <w:hyperlink r:id="rId20" w:history="1">
        <w:r w:rsidR="00852D8E" w:rsidRPr="00852D8E">
          <w:rPr>
            <w:rStyle w:val="Hyperlink"/>
            <w:rFonts w:asciiTheme="minorHAnsi" w:hAnsiTheme="minorHAnsi" w:cstheme="minorHAnsi"/>
          </w:rPr>
          <w:t>Law No. 11 of 2008 concerning Electronic Information and Transactions</w:t>
        </w:r>
      </w:hyperlink>
    </w:p>
    <w:p w14:paraId="0F277E8E" w14:textId="77777777" w:rsidR="00852D8E" w:rsidRPr="00852D8E" w:rsidRDefault="00D75D75" w:rsidP="00852D8E">
      <w:pPr>
        <w:rPr>
          <w:rStyle w:val="Hyperlink"/>
          <w:rFonts w:asciiTheme="minorHAnsi" w:hAnsiTheme="minorHAnsi" w:cstheme="minorHAnsi"/>
        </w:rPr>
      </w:pPr>
      <w:hyperlink r:id="rId21" w:history="1">
        <w:r w:rsidR="00852D8E" w:rsidRPr="00852D8E">
          <w:rPr>
            <w:rStyle w:val="Hyperlink"/>
            <w:rFonts w:asciiTheme="minorHAnsi" w:hAnsiTheme="minorHAnsi" w:cstheme="minorHAnsi"/>
          </w:rPr>
          <w:t>Law of the Republic of Indonesia No. 23 of 2002 on Child Protection</w:t>
        </w:r>
      </w:hyperlink>
    </w:p>
    <w:p w14:paraId="0488223F" w14:textId="559FAF06" w:rsidR="00852D8E" w:rsidRPr="00852D8E" w:rsidRDefault="00D75D75" w:rsidP="00852D8E">
      <w:pPr>
        <w:rPr>
          <w:rFonts w:asciiTheme="minorHAnsi" w:hAnsiTheme="minorHAnsi" w:cstheme="minorHAnsi"/>
          <w:color w:val="0563C1" w:themeColor="hyperlink"/>
          <w:u w:val="single"/>
        </w:rPr>
      </w:pPr>
      <w:hyperlink r:id="rId22" w:history="1">
        <w:r w:rsidR="00852D8E" w:rsidRPr="00852D8E">
          <w:rPr>
            <w:rStyle w:val="Hyperlink"/>
            <w:rFonts w:asciiTheme="minorHAnsi" w:hAnsiTheme="minorHAnsi" w:cstheme="minorHAnsi"/>
          </w:rPr>
          <w:t>Penal Code of the Republic of Indonesia</w:t>
        </w:r>
      </w:hyperlink>
      <w:r w:rsidR="00852D8E" w:rsidRPr="00852D8E">
        <w:rPr>
          <w:rStyle w:val="Hyperlink"/>
          <w:rFonts w:asciiTheme="minorHAnsi" w:hAnsiTheme="minorHAnsi" w:cstheme="minorHAnsi"/>
        </w:rPr>
        <w:t>, 1999</w:t>
      </w:r>
    </w:p>
    <w:p w14:paraId="75967EBC" w14:textId="77777777" w:rsidR="00C14AF0" w:rsidRPr="00852D8E" w:rsidRDefault="00C14AF0">
      <w:pPr>
        <w:rPr>
          <w:rFonts w:asciiTheme="minorHAnsi" w:hAnsiTheme="minorHAnsi" w:cstheme="minorHAnsi"/>
        </w:rPr>
      </w:pPr>
    </w:p>
    <w:sectPr w:rsidR="00C14AF0" w:rsidRPr="00852D8E" w:rsidSect="00852D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50E4C" w14:textId="77777777" w:rsidR="00D75D75" w:rsidRDefault="00D75D75" w:rsidP="00A07D56">
      <w:pPr>
        <w:spacing w:line="240" w:lineRule="auto"/>
      </w:pPr>
      <w:r>
        <w:separator/>
      </w:r>
    </w:p>
  </w:endnote>
  <w:endnote w:type="continuationSeparator" w:id="0">
    <w:p w14:paraId="654D77CF" w14:textId="77777777" w:rsidR="00D75D75" w:rsidRDefault="00D75D75" w:rsidP="00A07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Bold">
    <w:altName w:val="Calibri"/>
    <w:panose1 w:val="020B0604020202020204"/>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F9D00" w14:textId="77777777" w:rsidR="00D75D75" w:rsidRDefault="00D75D75" w:rsidP="00A07D56">
      <w:pPr>
        <w:spacing w:line="240" w:lineRule="auto"/>
      </w:pPr>
      <w:r>
        <w:separator/>
      </w:r>
    </w:p>
  </w:footnote>
  <w:footnote w:type="continuationSeparator" w:id="0">
    <w:p w14:paraId="12AF04A1" w14:textId="77777777" w:rsidR="00D75D75" w:rsidRDefault="00D75D75" w:rsidP="00A07D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244B"/>
    <w:multiLevelType w:val="hybridMultilevel"/>
    <w:tmpl w:val="5D785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09"/>
    <w:rsid w:val="00104B60"/>
    <w:rsid w:val="00162E4A"/>
    <w:rsid w:val="002C38A3"/>
    <w:rsid w:val="00306DBD"/>
    <w:rsid w:val="00363A4D"/>
    <w:rsid w:val="004447A7"/>
    <w:rsid w:val="004A4C9A"/>
    <w:rsid w:val="004A4EBF"/>
    <w:rsid w:val="00690F09"/>
    <w:rsid w:val="006B6D96"/>
    <w:rsid w:val="006C37D3"/>
    <w:rsid w:val="00702BF8"/>
    <w:rsid w:val="007F61F6"/>
    <w:rsid w:val="007F629E"/>
    <w:rsid w:val="00852D8E"/>
    <w:rsid w:val="00863165"/>
    <w:rsid w:val="00886593"/>
    <w:rsid w:val="00922802"/>
    <w:rsid w:val="009E66AF"/>
    <w:rsid w:val="00A07D56"/>
    <w:rsid w:val="00AB53D9"/>
    <w:rsid w:val="00B9753D"/>
    <w:rsid w:val="00BA6502"/>
    <w:rsid w:val="00C14AF0"/>
    <w:rsid w:val="00C44AF3"/>
    <w:rsid w:val="00C87B47"/>
    <w:rsid w:val="00D75D75"/>
    <w:rsid w:val="00D9467D"/>
    <w:rsid w:val="00DA0331"/>
    <w:rsid w:val="00F3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660D"/>
  <w15:chartTrackingRefBased/>
  <w15:docId w15:val="{9E617D01-D451-410D-B3D0-906F4294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D8E"/>
    <w:pPr>
      <w:pBdr>
        <w:top w:val="nil"/>
        <w:left w:val="nil"/>
        <w:bottom w:val="nil"/>
        <w:right w:val="nil"/>
        <w:between w:val="nil"/>
      </w:pBdr>
      <w:spacing w:after="0" w:line="276" w:lineRule="auto"/>
    </w:pPr>
    <w:rPr>
      <w:rFonts w:ascii="Arial" w:eastAsia="Arial" w:hAnsi="Arial" w:cs="Arial"/>
      <w:color w:val="000000"/>
      <w:lang w:bidi="th-TH"/>
    </w:rPr>
  </w:style>
  <w:style w:type="paragraph" w:styleId="Heading2">
    <w:name w:val="heading 2"/>
    <w:basedOn w:val="Normal"/>
    <w:next w:val="Normal"/>
    <w:link w:val="Heading2Char"/>
    <w:qFormat/>
    <w:rsid w:val="00852D8E"/>
    <w:pPr>
      <w:tabs>
        <w:tab w:val="center" w:pos="6979"/>
      </w:tabs>
      <w:jc w:val="center"/>
      <w:outlineLvl w:val="1"/>
    </w:pPr>
    <w:rPr>
      <w:rFonts w:asciiTheme="majorHAnsi" w:hAnsiTheme="majorHAnsi" w:cstheme="majorHAnsi"/>
      <w:b/>
      <w:noProof/>
      <w:color w:val="002060"/>
      <w:sz w:val="32"/>
      <w:szCs w:val="32"/>
      <w:lang w:val="en-G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2D8E"/>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852D8E"/>
    <w:pPr>
      <w:ind w:left="720"/>
      <w:contextualSpacing/>
    </w:pPr>
    <w:rPr>
      <w:rFonts w:cs="Cordia New"/>
      <w:szCs w:val="28"/>
    </w:rPr>
  </w:style>
  <w:style w:type="character" w:styleId="Hyperlink">
    <w:name w:val="Hyperlink"/>
    <w:basedOn w:val="DefaultParagraphFont"/>
    <w:uiPriority w:val="99"/>
    <w:unhideWhenUsed/>
    <w:rsid w:val="00852D8E"/>
    <w:rPr>
      <w:color w:val="0563C1" w:themeColor="hyperlink"/>
      <w:u w:val="single"/>
    </w:rPr>
  </w:style>
  <w:style w:type="table" w:styleId="PlainTable2">
    <w:name w:val="Plain Table 2"/>
    <w:basedOn w:val="TableNormal"/>
    <w:uiPriority w:val="42"/>
    <w:rsid w:val="00852D8E"/>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A07D56"/>
    <w:rPr>
      <w:sz w:val="16"/>
      <w:szCs w:val="16"/>
    </w:rPr>
  </w:style>
  <w:style w:type="paragraph" w:styleId="CommentText">
    <w:name w:val="annotation text"/>
    <w:basedOn w:val="Normal"/>
    <w:link w:val="CommentTextChar"/>
    <w:uiPriority w:val="99"/>
    <w:semiHidden/>
    <w:unhideWhenUsed/>
    <w:rsid w:val="00A07D56"/>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A07D56"/>
    <w:rPr>
      <w:rFonts w:ascii="Arial" w:eastAsia="Arial" w:hAnsi="Arial" w:cs="Cordia New"/>
      <w:color w:val="000000"/>
      <w:sz w:val="20"/>
      <w:szCs w:val="25"/>
      <w:lang w:bidi="th-TH"/>
    </w:rPr>
  </w:style>
  <w:style w:type="paragraph" w:styleId="CommentSubject">
    <w:name w:val="annotation subject"/>
    <w:basedOn w:val="CommentText"/>
    <w:next w:val="CommentText"/>
    <w:link w:val="CommentSubjectChar"/>
    <w:uiPriority w:val="99"/>
    <w:semiHidden/>
    <w:unhideWhenUsed/>
    <w:rsid w:val="00A07D56"/>
    <w:rPr>
      <w:b/>
      <w:bCs/>
    </w:rPr>
  </w:style>
  <w:style w:type="character" w:customStyle="1" w:styleId="CommentSubjectChar">
    <w:name w:val="Comment Subject Char"/>
    <w:basedOn w:val="CommentTextChar"/>
    <w:link w:val="CommentSubject"/>
    <w:uiPriority w:val="99"/>
    <w:semiHidden/>
    <w:rsid w:val="00A07D56"/>
    <w:rPr>
      <w:rFonts w:ascii="Arial" w:eastAsia="Arial" w:hAnsi="Arial" w:cs="Cordia New"/>
      <w:b/>
      <w:bCs/>
      <w:color w:val="000000"/>
      <w:sz w:val="20"/>
      <w:szCs w:val="25"/>
      <w:lang w:bidi="th-TH"/>
    </w:rPr>
  </w:style>
  <w:style w:type="paragraph" w:styleId="BalloonText">
    <w:name w:val="Balloon Text"/>
    <w:basedOn w:val="Normal"/>
    <w:link w:val="BalloonTextChar"/>
    <w:uiPriority w:val="99"/>
    <w:semiHidden/>
    <w:unhideWhenUsed/>
    <w:rsid w:val="00A07D56"/>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A07D56"/>
    <w:rPr>
      <w:rFonts w:ascii="Segoe UI" w:eastAsia="Arial" w:hAnsi="Segoe UI" w:cs="Angsana New"/>
      <w:color w:val="000000"/>
      <w:sz w:val="1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lo.org/dyn/travail/docs/760/Indonesian+Labour+Law+-+Act+13+of+2003.pdf" TargetMode="External"/><Relationship Id="rId18" Type="http://schemas.openxmlformats.org/officeDocument/2006/relationships/hyperlink" Target="http://apmigration.ilo.org/resources/indonesian-law-on-anti-trafficking/at_download/file1" TargetMode="External"/><Relationship Id="rId3" Type="http://schemas.openxmlformats.org/officeDocument/2006/relationships/settings" Target="settings.xml"/><Relationship Id="rId21" Type="http://schemas.openxmlformats.org/officeDocument/2006/relationships/hyperlink" Target="https://www.refworld.org/category,LEGAL,,LEGISLATION,IDN,54eef1e04,0.html" TargetMode="External"/><Relationship Id="rId7" Type="http://schemas.openxmlformats.org/officeDocument/2006/relationships/image" Target="media/image1.png"/><Relationship Id="rId12" Type="http://schemas.openxmlformats.org/officeDocument/2006/relationships/hyperlink" Target="https://ecpat.org/wp-content/uploads/2021/09/Assesment-Matrix_2021SEP_ENG_v2.pdf" TargetMode="External"/><Relationship Id="rId17" Type="http://schemas.openxmlformats.org/officeDocument/2006/relationships/hyperlink" Target="http://apmigration.ilo.org/resources/indonesian-law-on-anti-trafficking" TargetMode="External"/><Relationship Id="rId2" Type="http://schemas.openxmlformats.org/officeDocument/2006/relationships/styles" Target="styles.xml"/><Relationship Id="rId16" Type="http://schemas.openxmlformats.org/officeDocument/2006/relationships/hyperlink" Target="https://www.legal-tools.org/doc/51b8a3/pdf/" TargetMode="External"/><Relationship Id="rId20" Type="http://schemas.openxmlformats.org/officeDocument/2006/relationships/hyperlink" Target="http://www.flevin.com/id/lgso/translations/JICA%20Mirror/english/4846_UU_11_2008_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SECTT-Checklist_ENG_Explanatory-not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odc.org/res/cld/document/idn/law_number_7_year_1979_concerning_extradition_html/I.41_Law_of_1_YR_1979_on_Extradition.pdf" TargetMode="External"/><Relationship Id="rId23" Type="http://schemas.openxmlformats.org/officeDocument/2006/relationships/fontTable" Target="fontTable.xml"/><Relationship Id="rId10" Type="http://schemas.openxmlformats.org/officeDocument/2006/relationships/hyperlink" Target="https://ecpat.org/wp-content/uploads/2021/08/Global-Report-Offenders-on-the-Move.pdf" TargetMode="External"/><Relationship Id="rId19" Type="http://schemas.openxmlformats.org/officeDocument/2006/relationships/hyperlink" Target="http://peraturan.go.id/common/dokumen/ln/2008/uu44-2008.pdf" TargetMode="External"/><Relationship Id="rId4" Type="http://schemas.openxmlformats.org/officeDocument/2006/relationships/webSettings" Target="webSettings.xml"/><Relationship Id="rId9" Type="http://schemas.openxmlformats.org/officeDocument/2006/relationships/hyperlink" Target="https://ecpat.org/wp-content/uploads/2021/09/SECTT-Checklist_ENG-1.pdf" TargetMode="External"/><Relationship Id="rId14" Type="http://schemas.openxmlformats.org/officeDocument/2006/relationships/hyperlink" Target="https://www.ilo.org/dyn/natlex/docs/ELECTRONIC/98588/117398/F1211362854/IDN98588%20Idn.pdf" TargetMode="External"/><Relationship Id="rId22" Type="http://schemas.openxmlformats.org/officeDocument/2006/relationships/hyperlink" Target="https://www.unodc.org/res/cld/document/idn/indonesian_penal_code_html/I.1_Criminal_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dc:description/>
  <cp:lastModifiedBy>Microsoft Office User</cp:lastModifiedBy>
  <cp:revision>11</cp:revision>
  <dcterms:created xsi:type="dcterms:W3CDTF">2021-11-23T04:30:00Z</dcterms:created>
  <dcterms:modified xsi:type="dcterms:W3CDTF">2021-11-23T20:16:00Z</dcterms:modified>
</cp:coreProperties>
</file>