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173C5" w14:textId="37A43E06" w:rsidR="00A568C0" w:rsidRPr="00C40709" w:rsidRDefault="00890B4F" w:rsidP="00A568C0">
      <w:pPr>
        <w:rPr>
          <w:rFonts w:asciiTheme="majorHAnsi" w:hAnsiTheme="majorHAnsi" w:cstheme="majorHAnsi"/>
          <w:b/>
          <w:bCs/>
          <w:color w:val="02436F"/>
          <w:sz w:val="32"/>
          <w:szCs w:val="32"/>
          <w:lang w:val="es-ES"/>
        </w:rPr>
      </w:pPr>
      <w:r w:rsidRPr="00C40709">
        <w:rPr>
          <w:rFonts w:asciiTheme="majorHAnsi" w:hAnsiTheme="majorHAnsi" w:cstheme="majorHAnsi"/>
          <w:noProof/>
          <w:lang w:val="en-US"/>
        </w:rPr>
        <w:drawing>
          <wp:anchor distT="0" distB="0" distL="114300" distR="114300" simplePos="0" relativeHeight="251658240" behindDoc="1" locked="0" layoutInCell="1" allowOverlap="1" wp14:anchorId="081CCD98" wp14:editId="1542A8CE">
            <wp:simplePos x="0" y="0"/>
            <wp:positionH relativeFrom="column">
              <wp:posOffset>4642556</wp:posOffset>
            </wp:positionH>
            <wp:positionV relativeFrom="paragraph">
              <wp:posOffset>12700</wp:posOffset>
            </wp:positionV>
            <wp:extent cx="1092200" cy="767715"/>
            <wp:effectExtent l="0" t="0" r="0" b="0"/>
            <wp:wrapTight wrapText="bothSides">
              <wp:wrapPolygon edited="0">
                <wp:start x="0" y="0"/>
                <wp:lineTo x="0" y="20903"/>
                <wp:lineTo x="21098" y="20903"/>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2200" cy="767715"/>
                    </a:xfrm>
                    <a:prstGeom prst="rect">
                      <a:avLst/>
                    </a:prstGeom>
                  </pic:spPr>
                </pic:pic>
              </a:graphicData>
            </a:graphic>
            <wp14:sizeRelH relativeFrom="margin">
              <wp14:pctWidth>0</wp14:pctWidth>
            </wp14:sizeRelH>
            <wp14:sizeRelV relativeFrom="margin">
              <wp14:pctHeight>0</wp14:pctHeight>
            </wp14:sizeRelV>
          </wp:anchor>
        </w:drawing>
      </w:r>
      <w:r w:rsidR="00A568C0" w:rsidRPr="00C40709">
        <w:rPr>
          <w:rFonts w:asciiTheme="majorHAnsi" w:hAnsiTheme="majorHAnsi" w:cstheme="majorHAnsi"/>
          <w:noProof/>
          <w:lang w:val="en-US"/>
        </w:rPr>
        <w:drawing>
          <wp:anchor distT="0" distB="0" distL="114300" distR="114300" simplePos="0" relativeHeight="251659264" behindDoc="1" locked="0" layoutInCell="1" allowOverlap="1" wp14:anchorId="32EAAD2F" wp14:editId="191615B3">
            <wp:simplePos x="0" y="0"/>
            <wp:positionH relativeFrom="column">
              <wp:posOffset>-25400</wp:posOffset>
            </wp:positionH>
            <wp:positionV relativeFrom="paragraph">
              <wp:posOffset>381000</wp:posOffset>
            </wp:positionV>
            <wp:extent cx="2216150" cy="750570"/>
            <wp:effectExtent l="0" t="0" r="0" b="0"/>
            <wp:wrapTight wrapText="bothSides">
              <wp:wrapPolygon edited="0">
                <wp:start x="0" y="0"/>
                <wp:lineTo x="0" y="20832"/>
                <wp:lineTo x="21352" y="20832"/>
                <wp:lineTo x="2135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6150" cy="750570"/>
                    </a:xfrm>
                    <a:prstGeom prst="rect">
                      <a:avLst/>
                    </a:prstGeom>
                  </pic:spPr>
                </pic:pic>
              </a:graphicData>
            </a:graphic>
          </wp:anchor>
        </w:drawing>
      </w:r>
      <w:r w:rsidR="00A568C0" w:rsidRPr="00C40709">
        <w:rPr>
          <w:rFonts w:asciiTheme="majorHAnsi" w:hAnsiTheme="majorHAnsi" w:cstheme="majorHAnsi"/>
          <w:b/>
          <w:bCs/>
          <w:color w:val="02436F"/>
          <w:sz w:val="32"/>
          <w:szCs w:val="32"/>
          <w:lang w:val="es-ES"/>
        </w:rPr>
        <w:t xml:space="preserve">Ecuador </w:t>
      </w:r>
      <w:r w:rsidR="00A568C0" w:rsidRPr="00C40709">
        <w:rPr>
          <w:rFonts w:asciiTheme="majorHAnsi" w:hAnsiTheme="majorHAnsi" w:cstheme="majorHAnsi"/>
          <w:b/>
          <w:bCs/>
          <w:color w:val="02436F"/>
          <w:sz w:val="32"/>
          <w:szCs w:val="32"/>
          <w:lang w:val="es-ES"/>
        </w:rPr>
        <w:br/>
      </w:r>
      <w:r w:rsidR="00A568C0" w:rsidRPr="00C40709">
        <w:rPr>
          <w:rFonts w:asciiTheme="majorHAnsi" w:hAnsiTheme="majorHAnsi" w:cstheme="majorHAnsi"/>
          <w:b/>
          <w:bCs/>
          <w:color w:val="02436F"/>
          <w:sz w:val="32"/>
          <w:szCs w:val="32"/>
          <w:lang w:val="es-ES"/>
        </w:rPr>
        <w:br/>
      </w:r>
    </w:p>
    <w:p w14:paraId="00000004" w14:textId="7FF15746" w:rsidR="00241F4E" w:rsidRPr="00C40709" w:rsidRDefault="00241F4E">
      <w:pPr>
        <w:rPr>
          <w:rFonts w:asciiTheme="majorHAnsi" w:eastAsia="Calibri" w:hAnsiTheme="majorHAnsi" w:cstheme="majorHAnsi"/>
          <w:lang w:val="es-ES"/>
        </w:rPr>
      </w:pPr>
    </w:p>
    <w:p w14:paraId="68AE1EC6" w14:textId="7ADF85FE" w:rsidR="00A568C0" w:rsidRPr="00C40709" w:rsidRDefault="00A568C0">
      <w:pPr>
        <w:rPr>
          <w:rFonts w:asciiTheme="majorHAnsi" w:eastAsia="Calibri" w:hAnsiTheme="majorHAnsi" w:cstheme="majorHAnsi"/>
          <w:lang w:val="es-ES"/>
        </w:rPr>
      </w:pPr>
    </w:p>
    <w:p w14:paraId="47106148" w14:textId="77777777" w:rsidR="00A568C0" w:rsidRPr="00C40709" w:rsidRDefault="00A568C0" w:rsidP="00A568C0">
      <w:pPr>
        <w:spacing w:line="240" w:lineRule="auto"/>
        <w:jc w:val="both"/>
        <w:rPr>
          <w:rFonts w:asciiTheme="majorHAnsi" w:eastAsia="Calibri" w:hAnsiTheme="majorHAnsi" w:cstheme="majorHAnsi"/>
          <w:lang w:val="es-ES"/>
        </w:rPr>
      </w:pPr>
      <w:r w:rsidRPr="00C40709">
        <w:rPr>
          <w:rFonts w:asciiTheme="majorHAnsi" w:eastAsia="Calibri" w:hAnsiTheme="majorHAnsi" w:cstheme="majorHAnsi"/>
          <w:lang w:val="es-ES"/>
        </w:rPr>
        <w:t xml:space="preserve">ECPAT International desarrolló </w:t>
      </w:r>
      <w:hyperlink r:id="rId11" w:history="1">
        <w:r w:rsidRPr="00C40709">
          <w:rPr>
            <w:rFonts w:asciiTheme="majorHAnsi" w:eastAsia="Calibri" w:hAnsiTheme="majorHAnsi" w:cstheme="majorHAnsi"/>
            <w:color w:val="0000FF" w:themeColor="hyperlink"/>
            <w:u w:val="single"/>
            <w:lang w:val="es-ES"/>
          </w:rPr>
          <w:t>una lista de verificación legal</w:t>
        </w:r>
      </w:hyperlink>
      <w:r w:rsidRPr="00C40709">
        <w:rPr>
          <w:rFonts w:asciiTheme="majorHAnsi" w:eastAsia="Calibri" w:hAnsiTheme="majorHAnsi" w:cstheme="majorHAnsi"/>
          <w:lang w:val="es-ES"/>
        </w:rPr>
        <w:t xml:space="preserve"> para los gobiernos que brinda orientación sobre las intervenciones legales y las medidas por adoptar para mejorar sus marcos legales nacionales y abordar de manera más efectiva el delito de explotación sexual de niños, niñas y adolescentes en los viajes y el turismo, junto con sus elementos en línea.</w:t>
      </w:r>
    </w:p>
    <w:p w14:paraId="5A70E57D" w14:textId="77777777" w:rsidR="00A568C0" w:rsidRPr="00C40709" w:rsidRDefault="00A568C0" w:rsidP="00A568C0">
      <w:pPr>
        <w:spacing w:line="240" w:lineRule="auto"/>
        <w:jc w:val="both"/>
        <w:rPr>
          <w:rFonts w:asciiTheme="majorHAnsi" w:eastAsia="Calibri" w:hAnsiTheme="majorHAnsi" w:cstheme="majorHAnsi"/>
          <w:lang w:val="es-ES"/>
        </w:rPr>
      </w:pPr>
    </w:p>
    <w:p w14:paraId="3820E08D" w14:textId="1E41A263" w:rsidR="00A568C0" w:rsidRPr="00C40709" w:rsidRDefault="00A568C0" w:rsidP="00A568C0">
      <w:pPr>
        <w:spacing w:line="240" w:lineRule="auto"/>
        <w:jc w:val="both"/>
        <w:rPr>
          <w:rFonts w:asciiTheme="majorHAnsi" w:eastAsia="Calibri" w:hAnsiTheme="majorHAnsi" w:cstheme="majorHAnsi"/>
          <w:lang w:val="es-ES"/>
        </w:rPr>
      </w:pPr>
      <w:r w:rsidRPr="00C40709">
        <w:rPr>
          <w:rFonts w:asciiTheme="majorHAnsi" w:eastAsia="Calibri" w:hAnsiTheme="majorHAnsi" w:cstheme="majorHAnsi"/>
          <w:lang w:val="es-ES"/>
        </w:rPr>
        <w:t xml:space="preserve">La lista de verificación legal se desarrolló sobre la base de las recomendaciones del primer </w:t>
      </w:r>
      <w:hyperlink r:id="rId12" w:history="1">
        <w:r w:rsidRPr="00C40709">
          <w:rPr>
            <w:rFonts w:asciiTheme="majorHAnsi" w:eastAsia="Calibri" w:hAnsiTheme="majorHAnsi" w:cstheme="majorHAnsi"/>
            <w:color w:val="0000FF" w:themeColor="hyperlink"/>
            <w:u w:val="single"/>
            <w:lang w:val="es-ES"/>
          </w:rPr>
          <w:t>Estudio Global</w:t>
        </w:r>
      </w:hyperlink>
      <w:r w:rsidRPr="00C40709">
        <w:rPr>
          <w:rFonts w:asciiTheme="majorHAnsi" w:eastAsia="Calibri" w:hAnsiTheme="majorHAnsi" w:cstheme="majorHAnsi"/>
          <w:lang w:val="es-ES"/>
        </w:rPr>
        <w:t xml:space="preserve"> sobre la explotación sexual de niños, niñas y adolescentes en el contexto de los viajes y el turismo. Tras el desarrollo de esta lista de verificación legal, ECPAT International llevó a cabo un análisis de país para Ecuador y otros países de África, así como el sudeste de Asia, Asia y las Américas.</w:t>
      </w:r>
    </w:p>
    <w:p w14:paraId="60534987" w14:textId="77777777" w:rsidR="00A568C0" w:rsidRPr="00C40709" w:rsidRDefault="00A568C0" w:rsidP="00A568C0">
      <w:pPr>
        <w:spacing w:line="240" w:lineRule="auto"/>
        <w:jc w:val="both"/>
        <w:rPr>
          <w:rFonts w:asciiTheme="majorHAnsi" w:eastAsia="Calibri" w:hAnsiTheme="majorHAnsi" w:cstheme="majorHAnsi"/>
          <w:lang w:val="es-ES"/>
        </w:rPr>
      </w:pPr>
    </w:p>
    <w:p w14:paraId="7638A4BE" w14:textId="77777777" w:rsidR="00A568C0" w:rsidRPr="00C40709" w:rsidRDefault="00A568C0" w:rsidP="00A568C0">
      <w:pPr>
        <w:spacing w:line="240" w:lineRule="auto"/>
        <w:jc w:val="both"/>
        <w:rPr>
          <w:rFonts w:asciiTheme="majorHAnsi" w:eastAsia="Calibri" w:hAnsiTheme="majorHAnsi" w:cstheme="majorHAnsi"/>
          <w:lang w:val="es-ES"/>
        </w:rPr>
      </w:pPr>
      <w:r w:rsidRPr="00C40709">
        <w:rPr>
          <w:rFonts w:asciiTheme="majorHAnsi" w:eastAsia="Calibri" w:hAnsiTheme="majorHAnsi" w:cstheme="majorHAnsi"/>
          <w:lang w:val="es-ES"/>
        </w:rPr>
        <w:t>Los análisis de países sirven como base para indicar y rastrear el estado de implementación de las intervenciones legales dentro y entre las cuatro regiones. Proporcionan a los gobiernos instrucciones claras para mejorar sus acciones con respecto a la protección de las personas menores de edad contra la explotación sexual en el contexto de los viajes y el turismo, incluidos sus elementos en línea.</w:t>
      </w:r>
    </w:p>
    <w:p w14:paraId="76151205" w14:textId="77777777" w:rsidR="00A568C0" w:rsidRPr="00C40709" w:rsidRDefault="00A568C0" w:rsidP="00A568C0">
      <w:pPr>
        <w:spacing w:line="240" w:lineRule="auto"/>
        <w:jc w:val="both"/>
        <w:rPr>
          <w:rFonts w:asciiTheme="majorHAnsi" w:eastAsia="Calibri" w:hAnsiTheme="majorHAnsi" w:cstheme="majorHAnsi"/>
          <w:lang w:val="es-ES"/>
        </w:rPr>
      </w:pPr>
    </w:p>
    <w:p w14:paraId="2161338B" w14:textId="77777777" w:rsidR="00A568C0" w:rsidRPr="00C40709" w:rsidRDefault="00A568C0" w:rsidP="00A568C0">
      <w:pPr>
        <w:widowControl w:val="0"/>
        <w:spacing w:line="240" w:lineRule="auto"/>
        <w:jc w:val="both"/>
        <w:rPr>
          <w:rFonts w:asciiTheme="majorHAnsi" w:eastAsia="Calibri" w:hAnsiTheme="majorHAnsi" w:cstheme="majorHAnsi"/>
          <w:lang w:val="es-ES" w:eastAsia="es-NI"/>
        </w:rPr>
      </w:pPr>
      <w:r w:rsidRPr="00C40709">
        <w:rPr>
          <w:rFonts w:asciiTheme="majorHAnsi" w:eastAsia="Calibri" w:hAnsiTheme="majorHAnsi" w:cstheme="majorHAnsi"/>
          <w:lang w:val="es-ES"/>
        </w:rPr>
        <w:t xml:space="preserve">La siguiente tabla permite evaluar fácilmente la legislación existente en comparación con las 24 medidas de la lista de verificación legal. Se actualizará a medida que cambien las leyes y políticas. Se pueden consultar la </w:t>
      </w:r>
      <w:hyperlink r:id="rId13" w:history="1">
        <w:r w:rsidRPr="00C40709">
          <w:rPr>
            <w:rFonts w:asciiTheme="majorHAnsi" w:eastAsia="Calibri" w:hAnsiTheme="majorHAnsi" w:cstheme="majorHAnsi"/>
            <w:color w:val="0000FF" w:themeColor="hyperlink"/>
            <w:u w:val="single"/>
            <w:lang w:val="es-ES"/>
          </w:rPr>
          <w:t>nota explicativa</w:t>
        </w:r>
      </w:hyperlink>
      <w:r w:rsidRPr="00C40709">
        <w:rPr>
          <w:rFonts w:asciiTheme="majorHAnsi" w:eastAsia="Calibri" w:hAnsiTheme="majorHAnsi" w:cstheme="majorHAnsi"/>
          <w:lang w:val="es-ES"/>
        </w:rPr>
        <w:t xml:space="preserve"> y la </w:t>
      </w:r>
      <w:hyperlink r:id="rId14" w:history="1">
        <w:r w:rsidRPr="00C40709">
          <w:rPr>
            <w:rFonts w:asciiTheme="majorHAnsi" w:eastAsia="Calibri" w:hAnsiTheme="majorHAnsi" w:cstheme="majorHAnsi"/>
            <w:color w:val="0000FF" w:themeColor="hyperlink"/>
            <w:u w:val="single"/>
            <w:lang w:val="es-ES"/>
          </w:rPr>
          <w:t>matriz de evaluación</w:t>
        </w:r>
      </w:hyperlink>
      <w:r w:rsidRPr="00C40709">
        <w:rPr>
          <w:rFonts w:asciiTheme="majorHAnsi" w:eastAsia="Calibri" w:hAnsiTheme="majorHAnsi" w:cstheme="majorHAnsi"/>
          <w:lang w:val="es-ES"/>
        </w:rPr>
        <w:t xml:space="preserve"> para mayor referencia. </w:t>
      </w:r>
    </w:p>
    <w:p w14:paraId="6C2448F9" w14:textId="77777777" w:rsidR="00A568C0" w:rsidRPr="00C40709" w:rsidRDefault="00A568C0">
      <w:pPr>
        <w:rPr>
          <w:rFonts w:asciiTheme="majorHAnsi" w:eastAsia="Calibri" w:hAnsiTheme="majorHAnsi" w:cstheme="majorHAnsi"/>
          <w:lang w:val="es-ES"/>
        </w:rPr>
      </w:pPr>
    </w:p>
    <w:p w14:paraId="00000005" w14:textId="77777777" w:rsidR="00241F4E" w:rsidRPr="00C40709" w:rsidRDefault="00241F4E">
      <w:pPr>
        <w:rPr>
          <w:rFonts w:asciiTheme="majorHAnsi" w:eastAsia="Calibri" w:hAnsiTheme="majorHAnsi" w:cstheme="majorHAnsi"/>
          <w:lang w:val="es-ES"/>
        </w:rPr>
      </w:pPr>
    </w:p>
    <w:tbl>
      <w:tblPr>
        <w:tblStyle w:val="a2"/>
        <w:tblW w:w="10320" w:type="dxa"/>
        <w:tblInd w:w="-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
        <w:gridCol w:w="3675"/>
        <w:gridCol w:w="1610"/>
        <w:gridCol w:w="4450"/>
      </w:tblGrid>
      <w:tr w:rsidR="00241F4E" w:rsidRPr="006701B8" w14:paraId="3444E6CA" w14:textId="77777777" w:rsidTr="00E2483A">
        <w:tc>
          <w:tcPr>
            <w:tcW w:w="585" w:type="dxa"/>
            <w:shd w:val="clear" w:color="auto" w:fill="auto"/>
            <w:tcMar>
              <w:top w:w="100" w:type="dxa"/>
              <w:left w:w="100" w:type="dxa"/>
              <w:bottom w:w="100" w:type="dxa"/>
              <w:right w:w="100" w:type="dxa"/>
            </w:tcMar>
          </w:tcPr>
          <w:p w14:paraId="00000006" w14:textId="77777777" w:rsidR="00241F4E" w:rsidRPr="00C40709" w:rsidRDefault="00241F4E">
            <w:pPr>
              <w:widowControl w:val="0"/>
              <w:spacing w:line="240" w:lineRule="auto"/>
              <w:rPr>
                <w:rFonts w:asciiTheme="majorHAnsi" w:eastAsia="Calibri" w:hAnsiTheme="majorHAnsi" w:cstheme="majorHAnsi"/>
                <w:lang w:val="es-ES"/>
              </w:rPr>
            </w:pPr>
          </w:p>
        </w:tc>
        <w:tc>
          <w:tcPr>
            <w:tcW w:w="3675" w:type="dxa"/>
            <w:shd w:val="clear" w:color="auto" w:fill="auto"/>
            <w:tcMar>
              <w:top w:w="100" w:type="dxa"/>
              <w:left w:w="100" w:type="dxa"/>
              <w:bottom w:w="100" w:type="dxa"/>
              <w:right w:w="100" w:type="dxa"/>
            </w:tcMar>
          </w:tcPr>
          <w:p w14:paraId="00000007" w14:textId="77777777" w:rsidR="00241F4E" w:rsidRPr="00C40709" w:rsidRDefault="00892C68">
            <w:pPr>
              <w:widowControl w:val="0"/>
              <w:spacing w:line="240" w:lineRule="auto"/>
              <w:rPr>
                <w:rFonts w:asciiTheme="majorHAnsi" w:eastAsia="Calibri" w:hAnsiTheme="majorHAnsi" w:cstheme="majorHAnsi"/>
                <w:b/>
                <w:lang w:val="es-ES"/>
              </w:rPr>
            </w:pPr>
            <w:r w:rsidRPr="00C40709">
              <w:rPr>
                <w:rFonts w:asciiTheme="majorHAnsi" w:eastAsia="Calibri" w:hAnsiTheme="majorHAnsi" w:cstheme="majorHAnsi"/>
                <w:b/>
                <w:lang w:val="es-ES"/>
              </w:rPr>
              <w:t>Recomendaciones</w:t>
            </w:r>
          </w:p>
        </w:tc>
        <w:tc>
          <w:tcPr>
            <w:tcW w:w="1610" w:type="dxa"/>
            <w:shd w:val="clear" w:color="auto" w:fill="auto"/>
            <w:tcMar>
              <w:top w:w="100" w:type="dxa"/>
              <w:left w:w="100" w:type="dxa"/>
              <w:bottom w:w="100" w:type="dxa"/>
              <w:right w:w="100" w:type="dxa"/>
            </w:tcMar>
          </w:tcPr>
          <w:p w14:paraId="00000008" w14:textId="77777777" w:rsidR="00241F4E" w:rsidRPr="00C40709" w:rsidRDefault="00892C68">
            <w:pPr>
              <w:widowControl w:val="0"/>
              <w:spacing w:line="240" w:lineRule="auto"/>
              <w:rPr>
                <w:rFonts w:asciiTheme="majorHAnsi" w:eastAsia="Calibri" w:hAnsiTheme="majorHAnsi" w:cstheme="majorHAnsi"/>
                <w:b/>
                <w:lang w:val="es-ES"/>
              </w:rPr>
            </w:pPr>
            <w:r w:rsidRPr="00C40709">
              <w:rPr>
                <w:rFonts w:asciiTheme="majorHAnsi" w:eastAsia="Calibri" w:hAnsiTheme="majorHAnsi" w:cstheme="majorHAnsi"/>
                <w:b/>
                <w:lang w:val="es-ES"/>
              </w:rPr>
              <w:t>Implementado</w:t>
            </w:r>
          </w:p>
        </w:tc>
        <w:tc>
          <w:tcPr>
            <w:tcW w:w="4450" w:type="dxa"/>
            <w:shd w:val="clear" w:color="auto" w:fill="auto"/>
            <w:tcMar>
              <w:top w:w="100" w:type="dxa"/>
              <w:left w:w="100" w:type="dxa"/>
              <w:bottom w:w="100" w:type="dxa"/>
              <w:right w:w="100" w:type="dxa"/>
            </w:tcMar>
          </w:tcPr>
          <w:p w14:paraId="00000009" w14:textId="77777777" w:rsidR="00241F4E" w:rsidRPr="00C40709" w:rsidRDefault="00892C68">
            <w:pPr>
              <w:widowControl w:val="0"/>
              <w:spacing w:line="240" w:lineRule="auto"/>
              <w:rPr>
                <w:rFonts w:asciiTheme="majorHAnsi" w:eastAsia="Calibri" w:hAnsiTheme="majorHAnsi" w:cstheme="majorHAnsi"/>
                <w:b/>
                <w:lang w:val="es-ES"/>
              </w:rPr>
            </w:pPr>
            <w:r w:rsidRPr="00C40709">
              <w:rPr>
                <w:rFonts w:asciiTheme="majorHAnsi" w:eastAsia="Calibri" w:hAnsiTheme="majorHAnsi" w:cstheme="majorHAnsi"/>
                <w:b/>
                <w:lang w:val="es-ES"/>
              </w:rPr>
              <w:t>Legislación</w:t>
            </w:r>
          </w:p>
        </w:tc>
      </w:tr>
      <w:tr w:rsidR="00241F4E" w:rsidRPr="00C40709" w14:paraId="5256B490" w14:textId="77777777" w:rsidTr="00E2483A">
        <w:tc>
          <w:tcPr>
            <w:tcW w:w="585" w:type="dxa"/>
            <w:shd w:val="clear" w:color="auto" w:fill="auto"/>
            <w:tcMar>
              <w:top w:w="100" w:type="dxa"/>
              <w:left w:w="100" w:type="dxa"/>
              <w:bottom w:w="100" w:type="dxa"/>
              <w:right w:w="100" w:type="dxa"/>
            </w:tcMar>
          </w:tcPr>
          <w:p w14:paraId="0000000A"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1.</w:t>
            </w:r>
          </w:p>
        </w:tc>
        <w:tc>
          <w:tcPr>
            <w:tcW w:w="3675" w:type="dxa"/>
            <w:shd w:val="clear" w:color="auto" w:fill="auto"/>
            <w:tcMar>
              <w:top w:w="100" w:type="dxa"/>
              <w:left w:w="100" w:type="dxa"/>
              <w:bottom w:w="100" w:type="dxa"/>
              <w:right w:w="100" w:type="dxa"/>
            </w:tcMar>
          </w:tcPr>
          <w:p w14:paraId="1F579613" w14:textId="2910E063" w:rsidR="00F93808" w:rsidRPr="00C40709" w:rsidRDefault="00F93808" w:rsidP="00F93808">
            <w:pPr>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Establecer por ley </w:t>
            </w:r>
            <w:r w:rsidRPr="00C40709">
              <w:rPr>
                <w:rFonts w:asciiTheme="majorHAnsi" w:eastAsia="Calibri" w:hAnsiTheme="majorHAnsi" w:cstheme="majorHAnsi"/>
                <w:b/>
                <w:lang w:val="es-ES"/>
              </w:rPr>
              <w:t>la jurisdicción extraterritorial</w:t>
            </w:r>
            <w:r w:rsidRPr="00C40709">
              <w:rPr>
                <w:rFonts w:asciiTheme="majorHAnsi" w:eastAsia="Calibri" w:hAnsiTheme="majorHAnsi" w:cstheme="majorHAnsi"/>
                <w:lang w:val="es-ES"/>
              </w:rPr>
              <w:t xml:space="preserve">, dentro de los parámetros del Artículo 4 del OPSC, </w:t>
            </w:r>
          </w:p>
          <w:p w14:paraId="7E2525A6" w14:textId="77777777" w:rsidR="00F93808" w:rsidRPr="00C40709" w:rsidRDefault="00F93808" w:rsidP="00F93808">
            <w:pPr>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para todos los delitos de explotación sexual de niñas, niños y adolescentes, incluyendo aquellos </w:t>
            </w:r>
          </w:p>
          <w:p w14:paraId="0000000B" w14:textId="72224DD5" w:rsidR="00241F4E" w:rsidRPr="00C40709" w:rsidRDefault="00F93808" w:rsidP="00F93808">
            <w:pPr>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que se producen en línea.</w:t>
            </w:r>
          </w:p>
        </w:tc>
        <w:tc>
          <w:tcPr>
            <w:tcW w:w="1610" w:type="dxa"/>
            <w:shd w:val="clear" w:color="auto" w:fill="auto"/>
            <w:tcMar>
              <w:top w:w="100" w:type="dxa"/>
              <w:left w:w="100" w:type="dxa"/>
              <w:bottom w:w="100" w:type="dxa"/>
              <w:right w:w="100" w:type="dxa"/>
            </w:tcMar>
          </w:tcPr>
          <w:p w14:paraId="0000000C" w14:textId="03B514A4" w:rsidR="00241F4E" w:rsidRPr="00C40709" w:rsidRDefault="00CC09BD">
            <w:pPr>
              <w:widowControl w:val="0"/>
              <w:spacing w:line="240" w:lineRule="auto"/>
              <w:rPr>
                <w:rFonts w:asciiTheme="majorHAnsi" w:eastAsia="Calibri" w:hAnsiTheme="majorHAnsi" w:cstheme="majorHAnsi"/>
                <w:lang w:val="es-ES"/>
              </w:rPr>
            </w:pPr>
            <w:r>
              <w:rPr>
                <w:rFonts w:asciiTheme="majorHAnsi" w:eastAsia="Calibri" w:hAnsiTheme="majorHAnsi" w:cstheme="majorHAnsi"/>
                <w:lang w:val="es-ES"/>
              </w:rPr>
              <w:t xml:space="preserve">Parcialmente </w:t>
            </w:r>
          </w:p>
        </w:tc>
        <w:tc>
          <w:tcPr>
            <w:tcW w:w="4450" w:type="dxa"/>
            <w:shd w:val="clear" w:color="auto" w:fill="auto"/>
            <w:tcMar>
              <w:top w:w="100" w:type="dxa"/>
              <w:left w:w="100" w:type="dxa"/>
              <w:bottom w:w="100" w:type="dxa"/>
              <w:right w:w="100" w:type="dxa"/>
            </w:tcMar>
          </w:tcPr>
          <w:p w14:paraId="3A24E657" w14:textId="2A613A19" w:rsidR="00AC74CF" w:rsidRPr="00C40709" w:rsidRDefault="00892C68" w:rsidP="00D05A4E">
            <w:pPr>
              <w:spacing w:before="120" w:after="120"/>
              <w:jc w:val="both"/>
              <w:rPr>
                <w:rFonts w:asciiTheme="majorHAnsi" w:hAnsiTheme="majorHAnsi" w:cstheme="majorHAnsi"/>
                <w:lang w:val="es-ES"/>
              </w:rPr>
            </w:pPr>
            <w:r w:rsidRPr="00C40709">
              <w:rPr>
                <w:rFonts w:asciiTheme="majorHAnsi" w:eastAsia="Calibri" w:hAnsiTheme="majorHAnsi" w:cstheme="majorHAnsi"/>
                <w:lang w:val="es-ES"/>
              </w:rPr>
              <w:t xml:space="preserve">El Código Orgánico Integral Penal (COIP) en su artículo 14 establece que se aplicará el COIP para </w:t>
            </w:r>
            <w:r w:rsidRPr="00C40709">
              <w:rPr>
                <w:rFonts w:asciiTheme="majorHAnsi" w:eastAsia="Calibri" w:hAnsiTheme="majorHAnsi" w:cstheme="majorHAnsi"/>
                <w:lang w:val="es-ES"/>
              </w:rPr>
              <w:t xml:space="preserve">las infracciones cometidas fuera de Ecuador </w:t>
            </w:r>
            <w:r w:rsidR="00AC74CF" w:rsidRPr="00C40709">
              <w:rPr>
                <w:rFonts w:asciiTheme="majorHAnsi" w:hAnsiTheme="majorHAnsi" w:cstheme="majorHAnsi"/>
                <w:lang w:val="es-ES"/>
              </w:rPr>
              <w:t>cuando sean cometidas contra nacionales de Ecuador.</w:t>
            </w:r>
            <w:r w:rsidR="00AC74CF" w:rsidRPr="00C40709">
              <w:rPr>
                <w:rStyle w:val="FootnoteReference"/>
                <w:rFonts w:asciiTheme="majorHAnsi" w:hAnsiTheme="majorHAnsi" w:cstheme="majorHAnsi"/>
                <w:lang w:val="es-ES"/>
              </w:rPr>
              <w:footnoteReference w:id="1"/>
            </w:r>
            <w:r w:rsidR="00AC74CF" w:rsidRPr="00C40709">
              <w:rPr>
                <w:rFonts w:asciiTheme="majorHAnsi" w:hAnsiTheme="majorHAnsi" w:cstheme="majorHAnsi"/>
                <w:lang w:val="es-ES"/>
              </w:rPr>
              <w:t xml:space="preserve"> Sin embargo, la justicia ecuatoriana no regula explícitamente el principio de personalidad activa, eso es, la posibilidad de enjuiciar los delitos cometidos por nacionales de Ecuador en el extranjero. </w:t>
            </w:r>
          </w:p>
          <w:p w14:paraId="0000000F" w14:textId="604CCE19" w:rsidR="00241F4E" w:rsidRDefault="00AC74CF" w:rsidP="00C40709">
            <w:pPr>
              <w:widowControl w:val="0"/>
              <w:spacing w:line="240" w:lineRule="auto"/>
              <w:jc w:val="both"/>
              <w:rPr>
                <w:rFonts w:asciiTheme="majorHAnsi" w:hAnsiTheme="majorHAnsi" w:cstheme="majorHAnsi"/>
                <w:lang w:val="es-ES"/>
              </w:rPr>
            </w:pPr>
            <w:r w:rsidRPr="00C40709">
              <w:rPr>
                <w:rFonts w:asciiTheme="majorHAnsi" w:hAnsiTheme="majorHAnsi" w:cstheme="majorHAnsi"/>
                <w:lang w:val="es-ES"/>
              </w:rPr>
              <w:t>El Código Orgánico Integral Penal regula el principio de jurisdicción universal,  aplicable a los delitos que constituyen graves violaciones de derechos humanos.</w:t>
            </w:r>
            <w:r w:rsidRPr="00C40709">
              <w:rPr>
                <w:rStyle w:val="FootnoteReference"/>
                <w:rFonts w:asciiTheme="majorHAnsi" w:hAnsiTheme="majorHAnsi" w:cstheme="majorHAnsi"/>
                <w:lang w:val="es-ES"/>
              </w:rPr>
              <w:footnoteReference w:id="2"/>
            </w:r>
            <w:r w:rsidRPr="00C40709">
              <w:rPr>
                <w:rFonts w:asciiTheme="majorHAnsi" w:hAnsiTheme="majorHAnsi" w:cstheme="majorHAnsi"/>
                <w:lang w:val="es-ES"/>
              </w:rPr>
              <w:t xml:space="preserve"> Dado que una gran parte de los delitos de explotación sexual de NNA son caracterizados como tal, pueden ser perseguidos aun cuando han sido cometidos </w:t>
            </w:r>
            <w:r w:rsidRPr="00C40709">
              <w:rPr>
                <w:rFonts w:asciiTheme="majorHAnsi" w:hAnsiTheme="majorHAnsi" w:cstheme="majorHAnsi"/>
                <w:lang w:val="es-ES"/>
              </w:rPr>
              <w:lastRenderedPageBreak/>
              <w:t>fuera de los límites territoriales de Ecuador.</w:t>
            </w:r>
            <w:r w:rsidRPr="00C40709">
              <w:rPr>
                <w:rStyle w:val="FootnoteReference"/>
                <w:rFonts w:asciiTheme="majorHAnsi" w:hAnsiTheme="majorHAnsi" w:cstheme="majorHAnsi"/>
                <w:lang w:val="es-ES"/>
              </w:rPr>
              <w:footnoteReference w:id="3"/>
            </w:r>
          </w:p>
          <w:p w14:paraId="7D8B81BA" w14:textId="6BFCBBF2" w:rsidR="00C40709" w:rsidRDefault="00C40709" w:rsidP="00C40709">
            <w:pPr>
              <w:widowControl w:val="0"/>
              <w:spacing w:line="240" w:lineRule="auto"/>
              <w:jc w:val="both"/>
              <w:rPr>
                <w:rFonts w:asciiTheme="majorHAnsi" w:hAnsiTheme="majorHAnsi" w:cstheme="majorHAnsi"/>
                <w:lang w:val="es-ES"/>
              </w:rPr>
            </w:pPr>
          </w:p>
          <w:p w14:paraId="26F67514" w14:textId="77777777" w:rsidR="00C40709" w:rsidRPr="00C40709" w:rsidRDefault="00C40709" w:rsidP="00C40709">
            <w:pPr>
              <w:widowControl w:val="0"/>
              <w:spacing w:line="240" w:lineRule="auto"/>
              <w:jc w:val="both"/>
              <w:rPr>
                <w:rFonts w:asciiTheme="majorHAnsi" w:eastAsia="Calibri" w:hAnsiTheme="majorHAnsi" w:cstheme="majorHAnsi"/>
                <w:lang w:val="es-ES"/>
              </w:rPr>
            </w:pPr>
            <w:r w:rsidRPr="00C40709">
              <w:rPr>
                <w:rFonts w:asciiTheme="majorHAnsi" w:eastAsia="Calibri" w:hAnsiTheme="majorHAnsi" w:cstheme="majorHAnsi"/>
                <w:lang w:val="es-ES"/>
              </w:rPr>
              <w:t>Sin embargo, quedan fuera de esta</w:t>
            </w:r>
          </w:p>
          <w:p w14:paraId="59C32B06" w14:textId="72065A3E" w:rsidR="00C40709" w:rsidRPr="00C40709" w:rsidRDefault="00C40709" w:rsidP="00C40709">
            <w:pPr>
              <w:widowControl w:val="0"/>
              <w:spacing w:line="240" w:lineRule="auto"/>
              <w:jc w:val="both"/>
              <w:rPr>
                <w:rFonts w:asciiTheme="majorHAnsi" w:eastAsia="Calibri" w:hAnsiTheme="majorHAnsi" w:cstheme="majorHAnsi"/>
                <w:lang w:val="es-ES"/>
              </w:rPr>
            </w:pPr>
            <w:r w:rsidRPr="00C40709">
              <w:rPr>
                <w:rFonts w:asciiTheme="majorHAnsi" w:eastAsia="Calibri" w:hAnsiTheme="majorHAnsi" w:cstheme="majorHAnsi"/>
                <w:lang w:val="es-ES"/>
              </w:rPr>
              <w:t>clasificación delitos c</w:t>
            </w:r>
            <w:r w:rsidR="00CC09BD">
              <w:rPr>
                <w:rFonts w:asciiTheme="majorHAnsi" w:eastAsia="Calibri" w:hAnsiTheme="majorHAnsi" w:cstheme="majorHAnsi"/>
                <w:lang w:val="es-ES"/>
              </w:rPr>
              <w:t xml:space="preserve">omo la distribución de material </w:t>
            </w:r>
            <w:r w:rsidRPr="00C40709">
              <w:rPr>
                <w:rFonts w:asciiTheme="majorHAnsi" w:eastAsia="Calibri" w:hAnsiTheme="majorHAnsi" w:cstheme="majorHAnsi"/>
                <w:lang w:val="es-ES"/>
              </w:rPr>
              <w:t>pornográfico a NNA,</w:t>
            </w:r>
            <w:r w:rsidR="00CC09BD">
              <w:rPr>
                <w:rFonts w:asciiTheme="majorHAnsi" w:eastAsia="Calibri" w:hAnsiTheme="majorHAnsi" w:cstheme="majorHAnsi"/>
                <w:lang w:val="es-ES"/>
              </w:rPr>
              <w:t xml:space="preserve"> la corrupción de NNA, </w:t>
            </w:r>
            <w:r w:rsidRPr="00C40709">
              <w:rPr>
                <w:rFonts w:asciiTheme="majorHAnsi" w:eastAsia="Calibri" w:hAnsiTheme="majorHAnsi" w:cstheme="majorHAnsi"/>
                <w:lang w:val="es-ES"/>
              </w:rPr>
              <w:t>la utilización de N</w:t>
            </w:r>
            <w:r w:rsidR="00CC09BD">
              <w:rPr>
                <w:rFonts w:asciiTheme="majorHAnsi" w:eastAsia="Calibri" w:hAnsiTheme="majorHAnsi" w:cstheme="majorHAnsi"/>
                <w:lang w:val="es-ES"/>
              </w:rPr>
              <w:t xml:space="preserve">NA en exhibiciones con fines de </w:t>
            </w:r>
            <w:r w:rsidRPr="00C40709">
              <w:rPr>
                <w:rFonts w:asciiTheme="majorHAnsi" w:eastAsia="Calibri" w:hAnsiTheme="majorHAnsi" w:cstheme="majorHAnsi"/>
                <w:lang w:val="es-ES"/>
              </w:rPr>
              <w:t>naturaleza sexual,</w:t>
            </w:r>
            <w:r w:rsidR="00CC09BD">
              <w:rPr>
                <w:rFonts w:asciiTheme="majorHAnsi" w:eastAsia="Calibri" w:hAnsiTheme="majorHAnsi" w:cstheme="majorHAnsi"/>
                <w:lang w:val="es-ES"/>
              </w:rPr>
              <w:t xml:space="preserve"> el contacto con NNA por medios </w:t>
            </w:r>
            <w:r w:rsidRPr="00C40709">
              <w:rPr>
                <w:rFonts w:asciiTheme="majorHAnsi" w:eastAsia="Calibri" w:hAnsiTheme="majorHAnsi" w:cstheme="majorHAnsi"/>
                <w:lang w:val="es-ES"/>
              </w:rPr>
              <w:t>electrónicos con finalidad sexual,</w:t>
            </w:r>
            <w:r w:rsidR="00CC09BD">
              <w:rPr>
                <w:rFonts w:asciiTheme="majorHAnsi" w:eastAsia="Calibri" w:hAnsiTheme="majorHAnsi" w:cstheme="majorHAnsi"/>
                <w:lang w:val="es-ES"/>
              </w:rPr>
              <w:t xml:space="preserve"> o la oferta de </w:t>
            </w:r>
            <w:r w:rsidRPr="00C40709">
              <w:rPr>
                <w:rFonts w:asciiTheme="majorHAnsi" w:eastAsia="Calibri" w:hAnsiTheme="majorHAnsi" w:cstheme="majorHAnsi"/>
                <w:lang w:val="es-ES"/>
              </w:rPr>
              <w:t>servicios sexuales a NNA por medios electrónicos</w:t>
            </w:r>
            <w:r w:rsidR="00CC09BD">
              <w:rPr>
                <w:rFonts w:asciiTheme="majorHAnsi" w:eastAsia="Calibri" w:hAnsiTheme="majorHAnsi" w:cstheme="majorHAnsi"/>
                <w:lang w:val="es-ES"/>
              </w:rPr>
              <w:t>.</w:t>
            </w:r>
          </w:p>
          <w:p w14:paraId="00000010" w14:textId="030E8D3B" w:rsidR="00241F4E" w:rsidRPr="00C40709" w:rsidRDefault="00241F4E" w:rsidP="00C40709">
            <w:pPr>
              <w:widowControl w:val="0"/>
              <w:spacing w:line="240" w:lineRule="auto"/>
              <w:jc w:val="both"/>
              <w:rPr>
                <w:rFonts w:asciiTheme="majorHAnsi" w:eastAsia="Calibri" w:hAnsiTheme="majorHAnsi" w:cstheme="majorHAnsi"/>
                <w:lang w:val="es-ES"/>
              </w:rPr>
            </w:pPr>
          </w:p>
        </w:tc>
      </w:tr>
      <w:tr w:rsidR="00241F4E" w:rsidRPr="00C40709" w14:paraId="6359E8B4" w14:textId="77777777" w:rsidTr="00E2483A">
        <w:tc>
          <w:tcPr>
            <w:tcW w:w="585" w:type="dxa"/>
            <w:shd w:val="clear" w:color="auto" w:fill="auto"/>
            <w:tcMar>
              <w:top w:w="100" w:type="dxa"/>
              <w:left w:w="100" w:type="dxa"/>
              <w:bottom w:w="100" w:type="dxa"/>
              <w:right w:w="100" w:type="dxa"/>
            </w:tcMar>
          </w:tcPr>
          <w:p w14:paraId="00000011"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lastRenderedPageBreak/>
              <w:t>2.</w:t>
            </w:r>
          </w:p>
        </w:tc>
        <w:tc>
          <w:tcPr>
            <w:tcW w:w="3675" w:type="dxa"/>
            <w:shd w:val="clear" w:color="auto" w:fill="auto"/>
            <w:tcMar>
              <w:top w:w="100" w:type="dxa"/>
              <w:left w:w="100" w:type="dxa"/>
              <w:bottom w:w="100" w:type="dxa"/>
              <w:right w:w="100" w:type="dxa"/>
            </w:tcMar>
          </w:tcPr>
          <w:p w14:paraId="1EC6934A" w14:textId="77777777" w:rsidR="00F93808" w:rsidRPr="00C40709" w:rsidRDefault="00F93808" w:rsidP="00F9380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Incluir en los </w:t>
            </w:r>
            <w:r w:rsidRPr="00C40709">
              <w:rPr>
                <w:rFonts w:asciiTheme="majorHAnsi" w:eastAsia="Calibri" w:hAnsiTheme="majorHAnsi" w:cstheme="majorHAnsi"/>
                <w:b/>
                <w:lang w:val="es-ES"/>
              </w:rPr>
              <w:t>tratados de extradición</w:t>
            </w:r>
            <w:r w:rsidRPr="00C40709">
              <w:rPr>
                <w:rFonts w:asciiTheme="majorHAnsi" w:eastAsia="Calibri" w:hAnsiTheme="majorHAnsi" w:cstheme="majorHAnsi"/>
                <w:lang w:val="es-ES"/>
              </w:rPr>
              <w:t xml:space="preserve"> la explotación sexual de las niñas, niños y adolescentes como </w:t>
            </w:r>
          </w:p>
          <w:p w14:paraId="430D4883" w14:textId="77777777" w:rsidR="00F93808" w:rsidRPr="00C40709" w:rsidRDefault="00F93808" w:rsidP="00F9380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delitos extraditables y, cuando corresponda, aplicar las disposiciones del Artículo 5 del OPSC, </w:t>
            </w:r>
          </w:p>
          <w:p w14:paraId="00000012" w14:textId="6FA3A021" w:rsidR="00241F4E" w:rsidRPr="00C40709" w:rsidRDefault="00F93808" w:rsidP="00F9380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independientemente de la nacionalidad del (presunto) delincuente.</w:t>
            </w:r>
          </w:p>
        </w:tc>
        <w:tc>
          <w:tcPr>
            <w:tcW w:w="1610" w:type="dxa"/>
            <w:shd w:val="clear" w:color="auto" w:fill="auto"/>
            <w:tcMar>
              <w:top w:w="100" w:type="dxa"/>
              <w:left w:w="100" w:type="dxa"/>
              <w:bottom w:w="100" w:type="dxa"/>
              <w:right w:w="100" w:type="dxa"/>
            </w:tcMar>
          </w:tcPr>
          <w:p w14:paraId="00000013"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Sí</w:t>
            </w:r>
          </w:p>
        </w:tc>
        <w:tc>
          <w:tcPr>
            <w:tcW w:w="4450" w:type="dxa"/>
            <w:shd w:val="clear" w:color="auto" w:fill="auto"/>
            <w:tcMar>
              <w:top w:w="100" w:type="dxa"/>
              <w:left w:w="100" w:type="dxa"/>
              <w:bottom w:w="100" w:type="dxa"/>
              <w:right w:w="100" w:type="dxa"/>
            </w:tcMar>
          </w:tcPr>
          <w:p w14:paraId="00000014" w14:textId="77777777" w:rsidR="00241F4E" w:rsidRPr="00C40709" w:rsidRDefault="00892C68" w:rsidP="00C40709">
            <w:pPr>
              <w:widowControl w:val="0"/>
              <w:spacing w:line="240" w:lineRule="auto"/>
              <w:jc w:val="both"/>
              <w:rPr>
                <w:rFonts w:asciiTheme="majorHAnsi" w:eastAsia="Calibri" w:hAnsiTheme="majorHAnsi" w:cstheme="majorHAnsi"/>
                <w:lang w:val="es-ES"/>
              </w:rPr>
            </w:pPr>
            <w:r w:rsidRPr="00C40709">
              <w:rPr>
                <w:rFonts w:asciiTheme="majorHAnsi" w:eastAsia="Calibri" w:hAnsiTheme="majorHAnsi" w:cstheme="majorHAnsi"/>
                <w:lang w:val="es-ES"/>
              </w:rPr>
              <w:t>Artículo 79 de la Constitución prohíbe la extradición de una ecuatoriana o ecuatoriano.</w:t>
            </w:r>
          </w:p>
          <w:p w14:paraId="00000015" w14:textId="77777777" w:rsidR="00241F4E" w:rsidRPr="00C40709" w:rsidRDefault="00241F4E" w:rsidP="00C40709">
            <w:pPr>
              <w:widowControl w:val="0"/>
              <w:spacing w:line="240" w:lineRule="auto"/>
              <w:jc w:val="both"/>
              <w:rPr>
                <w:rFonts w:asciiTheme="majorHAnsi" w:eastAsia="Calibri" w:hAnsiTheme="majorHAnsi" w:cstheme="majorHAnsi"/>
                <w:lang w:val="es-ES"/>
              </w:rPr>
            </w:pPr>
          </w:p>
          <w:p w14:paraId="00000016" w14:textId="77777777" w:rsidR="00241F4E" w:rsidRPr="00C40709" w:rsidRDefault="00892C68" w:rsidP="00C40709">
            <w:pPr>
              <w:widowControl w:val="0"/>
              <w:spacing w:line="240" w:lineRule="auto"/>
              <w:jc w:val="both"/>
              <w:rPr>
                <w:rFonts w:asciiTheme="majorHAnsi" w:eastAsia="Calibri" w:hAnsiTheme="majorHAnsi" w:cstheme="majorHAnsi"/>
                <w:lang w:val="es-ES"/>
              </w:rPr>
            </w:pPr>
            <w:r w:rsidRPr="00C40709">
              <w:rPr>
                <w:rFonts w:asciiTheme="majorHAnsi" w:eastAsia="Calibri" w:hAnsiTheme="majorHAnsi" w:cstheme="majorHAnsi"/>
                <w:lang w:val="es-ES"/>
              </w:rPr>
              <w:t>La Ley de Extradición de 2000, establece en su artículo 2 que se podrá conceder la extradición para los delitos reprimidos con una sanción privativa de la libertad cuyo mínimo no sea inferior a un año según la ley ecuatoriana y la ley del Estado requirente.</w:t>
            </w:r>
          </w:p>
          <w:p w14:paraId="00000017" w14:textId="77777777" w:rsidR="00241F4E" w:rsidRPr="00C40709" w:rsidRDefault="00241F4E" w:rsidP="00C40709">
            <w:pPr>
              <w:widowControl w:val="0"/>
              <w:spacing w:line="240" w:lineRule="auto"/>
              <w:jc w:val="both"/>
              <w:rPr>
                <w:rFonts w:asciiTheme="majorHAnsi" w:eastAsia="Calibri" w:hAnsiTheme="majorHAnsi" w:cstheme="majorHAnsi"/>
                <w:lang w:val="es-ES"/>
              </w:rPr>
            </w:pPr>
          </w:p>
          <w:p w14:paraId="00000018" w14:textId="65436EE3" w:rsidR="00241F4E" w:rsidRPr="00C40709" w:rsidRDefault="00892C68" w:rsidP="00C40709">
            <w:pPr>
              <w:widowControl w:val="0"/>
              <w:spacing w:line="240" w:lineRule="auto"/>
              <w:jc w:val="both"/>
              <w:rPr>
                <w:rFonts w:asciiTheme="majorHAnsi" w:eastAsia="Calibri" w:hAnsiTheme="majorHAnsi" w:cstheme="majorHAnsi"/>
                <w:lang w:val="es-ES"/>
              </w:rPr>
            </w:pPr>
            <w:r w:rsidRPr="00C40709">
              <w:rPr>
                <w:rFonts w:asciiTheme="majorHAnsi" w:eastAsia="Calibri" w:hAnsiTheme="majorHAnsi" w:cstheme="majorHAnsi"/>
                <w:lang w:val="es-ES"/>
              </w:rPr>
              <w:t>En Ecuador, todos los delitos de explotación sexual de NNA son reprimidos con pena de prisión cuyo mínimo no es inferior a un año</w:t>
            </w:r>
            <w:r w:rsidR="00AC74CF" w:rsidRPr="00C40709">
              <w:rPr>
                <w:rFonts w:asciiTheme="majorHAnsi" w:eastAsia="Calibri" w:hAnsiTheme="majorHAnsi" w:cstheme="majorHAnsi"/>
                <w:lang w:val="es-ES"/>
              </w:rPr>
              <w:t>, por lo que son delitos extraditables.</w:t>
            </w:r>
          </w:p>
        </w:tc>
      </w:tr>
      <w:tr w:rsidR="00241F4E" w:rsidRPr="00C40709" w14:paraId="0B412CEB" w14:textId="77777777" w:rsidTr="00E2483A">
        <w:tc>
          <w:tcPr>
            <w:tcW w:w="585" w:type="dxa"/>
            <w:shd w:val="clear" w:color="auto" w:fill="auto"/>
            <w:tcMar>
              <w:top w:w="100" w:type="dxa"/>
              <w:left w:w="100" w:type="dxa"/>
              <w:bottom w:w="100" w:type="dxa"/>
              <w:right w:w="100" w:type="dxa"/>
            </w:tcMar>
          </w:tcPr>
          <w:p w14:paraId="00000019"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3.</w:t>
            </w:r>
          </w:p>
        </w:tc>
        <w:tc>
          <w:tcPr>
            <w:tcW w:w="3675" w:type="dxa"/>
            <w:shd w:val="clear" w:color="auto" w:fill="auto"/>
            <w:tcMar>
              <w:top w:w="100" w:type="dxa"/>
              <w:left w:w="100" w:type="dxa"/>
              <w:bottom w:w="100" w:type="dxa"/>
              <w:right w:w="100" w:type="dxa"/>
            </w:tcMar>
          </w:tcPr>
          <w:p w14:paraId="603DA981" w14:textId="6DC0A52F" w:rsidR="00F93808" w:rsidRPr="00C40709" w:rsidRDefault="00F93808" w:rsidP="00F9380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NO exigir el principio de </w:t>
            </w:r>
            <w:r w:rsidRPr="00C40709">
              <w:rPr>
                <w:rFonts w:asciiTheme="majorHAnsi" w:eastAsia="Calibri" w:hAnsiTheme="majorHAnsi" w:cstheme="majorHAnsi"/>
                <w:b/>
                <w:lang w:val="es-ES"/>
              </w:rPr>
              <w:t xml:space="preserve">la doble criminalidad </w:t>
            </w:r>
            <w:r w:rsidRPr="00C40709">
              <w:rPr>
                <w:rFonts w:asciiTheme="majorHAnsi" w:eastAsia="Calibri" w:hAnsiTheme="majorHAnsi" w:cstheme="majorHAnsi"/>
                <w:lang w:val="es-ES"/>
              </w:rPr>
              <w:t xml:space="preserve">para proceder con jurisdicción extraterritorial o </w:t>
            </w:r>
          </w:p>
          <w:p w14:paraId="0000001A" w14:textId="389CADB4" w:rsidR="00241F4E" w:rsidRPr="00C40709" w:rsidRDefault="00F93808" w:rsidP="00F9380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extradición por delitos sexuales contra niñas, niños y adolescentes.</w:t>
            </w:r>
          </w:p>
        </w:tc>
        <w:tc>
          <w:tcPr>
            <w:tcW w:w="1610" w:type="dxa"/>
            <w:shd w:val="clear" w:color="auto" w:fill="auto"/>
            <w:tcMar>
              <w:top w:w="100" w:type="dxa"/>
              <w:left w:w="100" w:type="dxa"/>
              <w:bottom w:w="100" w:type="dxa"/>
              <w:right w:w="100" w:type="dxa"/>
            </w:tcMar>
          </w:tcPr>
          <w:p w14:paraId="0000001B" w14:textId="698149A9" w:rsidR="00241F4E" w:rsidRPr="00C40709" w:rsidRDefault="00452432">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Parcialmente</w:t>
            </w:r>
          </w:p>
        </w:tc>
        <w:tc>
          <w:tcPr>
            <w:tcW w:w="4450" w:type="dxa"/>
            <w:shd w:val="clear" w:color="auto" w:fill="auto"/>
            <w:tcMar>
              <w:top w:w="100" w:type="dxa"/>
              <w:left w:w="100" w:type="dxa"/>
              <w:bottom w:w="100" w:type="dxa"/>
              <w:right w:w="100" w:type="dxa"/>
            </w:tcMar>
          </w:tcPr>
          <w:p w14:paraId="0000001C" w14:textId="77777777" w:rsidR="00241F4E" w:rsidRPr="00C40709" w:rsidRDefault="00892C68" w:rsidP="00C40709">
            <w:pPr>
              <w:widowControl w:val="0"/>
              <w:spacing w:line="240" w:lineRule="auto"/>
              <w:jc w:val="both"/>
              <w:rPr>
                <w:rFonts w:asciiTheme="majorHAnsi" w:eastAsia="Calibri" w:hAnsiTheme="majorHAnsi" w:cstheme="majorHAnsi"/>
                <w:lang w:val="es-ES"/>
              </w:rPr>
            </w:pPr>
            <w:r w:rsidRPr="00C40709">
              <w:rPr>
                <w:rFonts w:asciiTheme="majorHAnsi" w:eastAsia="Calibri" w:hAnsiTheme="majorHAnsi" w:cstheme="majorHAnsi"/>
                <w:lang w:val="es-ES"/>
              </w:rPr>
              <w:t>El criterio de la doble criminalidad no se aplicará cuando se trata de la jurisdicción extraterritorial.</w:t>
            </w:r>
          </w:p>
          <w:p w14:paraId="0000001D" w14:textId="77777777" w:rsidR="00241F4E" w:rsidRPr="00C40709" w:rsidRDefault="00241F4E" w:rsidP="00C40709">
            <w:pPr>
              <w:widowControl w:val="0"/>
              <w:spacing w:line="240" w:lineRule="auto"/>
              <w:jc w:val="both"/>
              <w:rPr>
                <w:rFonts w:asciiTheme="majorHAnsi" w:eastAsia="Calibri" w:hAnsiTheme="majorHAnsi" w:cstheme="majorHAnsi"/>
                <w:lang w:val="es-ES"/>
              </w:rPr>
            </w:pPr>
          </w:p>
          <w:p w14:paraId="0000001E" w14:textId="77777777" w:rsidR="00241F4E" w:rsidRPr="00C40709" w:rsidRDefault="00892C68" w:rsidP="00C40709">
            <w:pPr>
              <w:widowControl w:val="0"/>
              <w:spacing w:line="240" w:lineRule="auto"/>
              <w:jc w:val="both"/>
              <w:rPr>
                <w:rFonts w:asciiTheme="majorHAnsi" w:eastAsia="Calibri" w:hAnsiTheme="majorHAnsi" w:cstheme="majorHAnsi"/>
                <w:lang w:val="es-ES"/>
              </w:rPr>
            </w:pPr>
            <w:r w:rsidRPr="00C40709">
              <w:rPr>
                <w:rFonts w:asciiTheme="majorHAnsi" w:eastAsia="Calibri" w:hAnsiTheme="majorHAnsi" w:cstheme="majorHAnsi"/>
                <w:lang w:val="es-ES"/>
              </w:rPr>
              <w:t>Según el artículo 2 de la Ley de Extradición, el criterio de la doble criminalidad se aplicará en los casos de extradición.</w:t>
            </w:r>
          </w:p>
        </w:tc>
      </w:tr>
      <w:tr w:rsidR="00241F4E" w:rsidRPr="00C40709" w14:paraId="5E64D995" w14:textId="77777777" w:rsidTr="00E2483A">
        <w:tc>
          <w:tcPr>
            <w:tcW w:w="585" w:type="dxa"/>
            <w:shd w:val="clear" w:color="auto" w:fill="auto"/>
            <w:tcMar>
              <w:top w:w="100" w:type="dxa"/>
              <w:left w:w="100" w:type="dxa"/>
              <w:bottom w:w="100" w:type="dxa"/>
              <w:right w:w="100" w:type="dxa"/>
            </w:tcMar>
          </w:tcPr>
          <w:p w14:paraId="0000001F"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4.</w:t>
            </w:r>
          </w:p>
        </w:tc>
        <w:tc>
          <w:tcPr>
            <w:tcW w:w="3675" w:type="dxa"/>
            <w:shd w:val="clear" w:color="auto" w:fill="auto"/>
            <w:tcMar>
              <w:top w:w="100" w:type="dxa"/>
              <w:left w:w="100" w:type="dxa"/>
              <w:bottom w:w="100" w:type="dxa"/>
              <w:right w:w="100" w:type="dxa"/>
            </w:tcMar>
          </w:tcPr>
          <w:p w14:paraId="0F146D38" w14:textId="50974769" w:rsidR="00F93808" w:rsidRPr="00C40709" w:rsidRDefault="00F93808" w:rsidP="00F9380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Abolir </w:t>
            </w:r>
            <w:r w:rsidRPr="00C40709">
              <w:rPr>
                <w:rFonts w:asciiTheme="majorHAnsi" w:eastAsia="Calibri" w:hAnsiTheme="majorHAnsi" w:cstheme="majorHAnsi"/>
                <w:b/>
                <w:lang w:val="es-ES"/>
              </w:rPr>
              <w:t>las limitaciones legales</w:t>
            </w:r>
            <w:r w:rsidRPr="00C40709">
              <w:rPr>
                <w:rFonts w:asciiTheme="majorHAnsi" w:eastAsia="Calibri" w:hAnsiTheme="majorHAnsi" w:cstheme="majorHAnsi"/>
                <w:lang w:val="es-ES"/>
              </w:rPr>
              <w:t xml:space="preserve"> para el enjuiciamiento de todos los delitos de explotación sexual </w:t>
            </w:r>
          </w:p>
          <w:p w14:paraId="00000020" w14:textId="1DAEA908" w:rsidR="00241F4E" w:rsidRPr="00C40709" w:rsidRDefault="00F93808" w:rsidP="00F9380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de niñas, niños y adolescentes.</w:t>
            </w:r>
          </w:p>
        </w:tc>
        <w:tc>
          <w:tcPr>
            <w:tcW w:w="1610" w:type="dxa"/>
            <w:shd w:val="clear" w:color="auto" w:fill="auto"/>
            <w:tcMar>
              <w:top w:w="100" w:type="dxa"/>
              <w:left w:w="100" w:type="dxa"/>
              <w:bottom w:w="100" w:type="dxa"/>
              <w:right w:w="100" w:type="dxa"/>
            </w:tcMar>
          </w:tcPr>
          <w:p w14:paraId="00000021" w14:textId="1BC42B4D" w:rsidR="00241F4E" w:rsidRPr="00C40709" w:rsidRDefault="00AC74CF">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Sí</w:t>
            </w:r>
          </w:p>
        </w:tc>
        <w:tc>
          <w:tcPr>
            <w:tcW w:w="4450" w:type="dxa"/>
            <w:shd w:val="clear" w:color="auto" w:fill="auto"/>
            <w:tcMar>
              <w:top w:w="100" w:type="dxa"/>
              <w:left w:w="100" w:type="dxa"/>
              <w:bottom w:w="100" w:type="dxa"/>
              <w:right w:w="100" w:type="dxa"/>
            </w:tcMar>
          </w:tcPr>
          <w:p w14:paraId="00000022" w14:textId="4FBDE7C3" w:rsidR="00241F4E" w:rsidRPr="00C40709" w:rsidRDefault="00AC74CF" w:rsidP="00C40709">
            <w:pPr>
              <w:widowControl w:val="0"/>
              <w:spacing w:line="240" w:lineRule="auto"/>
              <w:jc w:val="both"/>
              <w:rPr>
                <w:rFonts w:asciiTheme="majorHAnsi" w:eastAsia="Calibri" w:hAnsiTheme="majorHAnsi" w:cstheme="majorHAnsi"/>
                <w:lang w:val="es-ES"/>
              </w:rPr>
            </w:pPr>
            <w:r w:rsidRPr="00C40709">
              <w:rPr>
                <w:rFonts w:asciiTheme="majorHAnsi" w:eastAsia="Calibri" w:hAnsiTheme="majorHAnsi" w:cstheme="majorHAnsi"/>
                <w:lang w:val="es-ES"/>
              </w:rPr>
              <w:t>En Ecuador los delitos de explotación sexual contra NNA no prescriben.</w:t>
            </w:r>
            <w:r w:rsidRPr="00C40709">
              <w:rPr>
                <w:rFonts w:asciiTheme="majorHAnsi" w:eastAsia="Calibri" w:hAnsiTheme="majorHAnsi" w:cstheme="majorHAnsi"/>
                <w:vertAlign w:val="superscript"/>
                <w:lang w:val="es-ES"/>
              </w:rPr>
              <w:footnoteReference w:id="4"/>
            </w:r>
          </w:p>
        </w:tc>
      </w:tr>
      <w:tr w:rsidR="00241F4E" w:rsidRPr="00C40709" w14:paraId="5DFC1B65" w14:textId="77777777" w:rsidTr="00E2483A">
        <w:tc>
          <w:tcPr>
            <w:tcW w:w="585" w:type="dxa"/>
            <w:shd w:val="clear" w:color="auto" w:fill="auto"/>
            <w:tcMar>
              <w:top w:w="100" w:type="dxa"/>
              <w:left w:w="100" w:type="dxa"/>
              <w:bottom w:w="100" w:type="dxa"/>
              <w:right w:w="100" w:type="dxa"/>
            </w:tcMar>
          </w:tcPr>
          <w:p w14:paraId="00000023"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5.</w:t>
            </w:r>
          </w:p>
        </w:tc>
        <w:tc>
          <w:tcPr>
            <w:tcW w:w="3675" w:type="dxa"/>
            <w:shd w:val="clear" w:color="auto" w:fill="auto"/>
            <w:tcMar>
              <w:top w:w="100" w:type="dxa"/>
              <w:left w:w="100" w:type="dxa"/>
              <w:bottom w:w="100" w:type="dxa"/>
              <w:right w:w="100" w:type="dxa"/>
            </w:tcMar>
          </w:tcPr>
          <w:p w14:paraId="39D38E73" w14:textId="72DBF831" w:rsidR="00F93808" w:rsidRPr="00C40709" w:rsidRDefault="00F93808" w:rsidP="00F9380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Establecer </w:t>
            </w:r>
            <w:r w:rsidRPr="00C40709">
              <w:rPr>
                <w:rFonts w:asciiTheme="majorHAnsi" w:eastAsia="Calibri" w:hAnsiTheme="majorHAnsi" w:cstheme="majorHAnsi"/>
                <w:b/>
                <w:lang w:val="es-ES"/>
              </w:rPr>
              <w:t>condiciones para cualquier viaje</w:t>
            </w:r>
            <w:r w:rsidRPr="00C40709">
              <w:rPr>
                <w:rFonts w:asciiTheme="majorHAnsi" w:eastAsia="Calibri" w:hAnsiTheme="majorHAnsi" w:cstheme="majorHAnsi"/>
                <w:lang w:val="es-ES"/>
              </w:rPr>
              <w:t xml:space="preserve"> de personas condenadas por explotación sexual de </w:t>
            </w:r>
          </w:p>
          <w:p w14:paraId="00000024" w14:textId="040C9C7C" w:rsidR="00241F4E" w:rsidRPr="00C40709" w:rsidRDefault="00F93808" w:rsidP="00F9380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niñas, niños y adolescentes.</w:t>
            </w:r>
          </w:p>
        </w:tc>
        <w:tc>
          <w:tcPr>
            <w:tcW w:w="1610" w:type="dxa"/>
            <w:shd w:val="clear" w:color="auto" w:fill="auto"/>
            <w:tcMar>
              <w:top w:w="100" w:type="dxa"/>
              <w:left w:w="100" w:type="dxa"/>
              <w:bottom w:w="100" w:type="dxa"/>
              <w:right w:w="100" w:type="dxa"/>
            </w:tcMar>
          </w:tcPr>
          <w:p w14:paraId="00000025"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Sí</w:t>
            </w:r>
          </w:p>
        </w:tc>
        <w:tc>
          <w:tcPr>
            <w:tcW w:w="4450" w:type="dxa"/>
            <w:shd w:val="clear" w:color="auto" w:fill="auto"/>
            <w:tcMar>
              <w:top w:w="100" w:type="dxa"/>
              <w:left w:w="100" w:type="dxa"/>
              <w:bottom w:w="100" w:type="dxa"/>
              <w:right w:w="100" w:type="dxa"/>
            </w:tcMar>
          </w:tcPr>
          <w:p w14:paraId="71469935" w14:textId="19A741F4" w:rsidR="00087AF4" w:rsidRPr="00C40709" w:rsidRDefault="00087AF4" w:rsidP="00C40709">
            <w:pPr>
              <w:widowControl w:val="0"/>
              <w:spacing w:line="240" w:lineRule="auto"/>
              <w:jc w:val="both"/>
              <w:rPr>
                <w:rFonts w:asciiTheme="majorHAnsi" w:hAnsiTheme="majorHAnsi" w:cstheme="majorHAnsi"/>
                <w:lang w:val="es-ES"/>
              </w:rPr>
            </w:pPr>
            <w:r w:rsidRPr="00C40709">
              <w:rPr>
                <w:rFonts w:asciiTheme="majorHAnsi" w:hAnsiTheme="majorHAnsi" w:cstheme="majorHAnsi"/>
                <w:lang w:val="es-ES"/>
              </w:rPr>
              <w:t>El Código Orgánico Integral Penal prevé la expulsión y la prohibición de retorno al territorio ecuatoriano para personas extranjeras que hayan sido sancionadas con penas privativas de libertad mayores a 5 años.</w:t>
            </w:r>
            <w:r w:rsidRPr="00C40709">
              <w:rPr>
                <w:rStyle w:val="FootnoteReference"/>
                <w:rFonts w:asciiTheme="majorHAnsi" w:hAnsiTheme="majorHAnsi" w:cstheme="majorHAnsi"/>
                <w:lang w:val="es-ES"/>
              </w:rPr>
              <w:footnoteReference w:id="5"/>
            </w:r>
          </w:p>
          <w:p w14:paraId="00000027" w14:textId="77777777" w:rsidR="00241F4E" w:rsidRPr="00C40709" w:rsidRDefault="00241F4E" w:rsidP="00C40709">
            <w:pPr>
              <w:widowControl w:val="0"/>
              <w:spacing w:line="240" w:lineRule="auto"/>
              <w:jc w:val="both"/>
              <w:rPr>
                <w:rFonts w:asciiTheme="majorHAnsi" w:eastAsia="Calibri" w:hAnsiTheme="majorHAnsi" w:cstheme="majorHAnsi"/>
                <w:lang w:val="es-ES"/>
              </w:rPr>
            </w:pPr>
          </w:p>
          <w:p w14:paraId="00000028" w14:textId="77777777" w:rsidR="00241F4E" w:rsidRPr="00C40709" w:rsidRDefault="00892C68" w:rsidP="00C40709">
            <w:pPr>
              <w:widowControl w:val="0"/>
              <w:spacing w:line="240" w:lineRule="auto"/>
              <w:jc w:val="both"/>
              <w:rPr>
                <w:rFonts w:asciiTheme="majorHAnsi" w:eastAsia="Calibri" w:hAnsiTheme="majorHAnsi" w:cstheme="majorHAnsi"/>
                <w:lang w:val="es-ES"/>
              </w:rPr>
            </w:pPr>
            <w:r w:rsidRPr="00C40709">
              <w:rPr>
                <w:rFonts w:asciiTheme="majorHAnsi" w:eastAsia="Calibri" w:hAnsiTheme="majorHAnsi" w:cstheme="majorHAnsi"/>
                <w:lang w:val="es-ES"/>
              </w:rPr>
              <w:t>La Ley Orgánica de Movilidad Humana en su artículo 128 establece que un nacional no podrá salir del territorio por orden de la autoridad judicial competente, y en su artículo 137 establece que una persona extranjera no será admitida en el Ecuador si es considerada una amenaza o riesgo para la seguridad interna según la información que dispone el Estado ecuatoriano.</w:t>
            </w:r>
          </w:p>
        </w:tc>
      </w:tr>
      <w:tr w:rsidR="00241F4E" w:rsidRPr="00C40709" w14:paraId="2BB3CB9B" w14:textId="77777777" w:rsidTr="00E2483A">
        <w:tc>
          <w:tcPr>
            <w:tcW w:w="585" w:type="dxa"/>
            <w:shd w:val="clear" w:color="auto" w:fill="auto"/>
            <w:tcMar>
              <w:top w:w="100" w:type="dxa"/>
              <w:left w:w="100" w:type="dxa"/>
              <w:bottom w:w="100" w:type="dxa"/>
              <w:right w:w="100" w:type="dxa"/>
            </w:tcMar>
          </w:tcPr>
          <w:p w14:paraId="00000029"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lastRenderedPageBreak/>
              <w:t>6.</w:t>
            </w:r>
          </w:p>
        </w:tc>
        <w:tc>
          <w:tcPr>
            <w:tcW w:w="3675" w:type="dxa"/>
            <w:shd w:val="clear" w:color="auto" w:fill="auto"/>
            <w:tcMar>
              <w:top w:w="100" w:type="dxa"/>
              <w:left w:w="100" w:type="dxa"/>
              <w:bottom w:w="100" w:type="dxa"/>
              <w:right w:w="100" w:type="dxa"/>
            </w:tcMar>
          </w:tcPr>
          <w:p w14:paraId="0000002A" w14:textId="7DF0BEFF" w:rsidR="00241F4E" w:rsidRPr="00C40709" w:rsidRDefault="00F93808" w:rsidP="00F9380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Definir </w:t>
            </w:r>
            <w:r w:rsidRPr="00C40709">
              <w:rPr>
                <w:rFonts w:asciiTheme="majorHAnsi" w:eastAsia="Calibri" w:hAnsiTheme="majorHAnsi" w:cstheme="majorHAnsi"/>
                <w:b/>
                <w:lang w:val="es-ES"/>
              </w:rPr>
              <w:t>el término ‘niño’</w:t>
            </w:r>
            <w:r w:rsidRPr="00C40709">
              <w:rPr>
                <w:rFonts w:asciiTheme="majorHAnsi" w:eastAsia="Calibri" w:hAnsiTheme="majorHAnsi" w:cstheme="majorHAnsi"/>
                <w:lang w:val="es-ES"/>
              </w:rPr>
              <w:t xml:space="preserve">, como cualquier persona </w:t>
            </w:r>
            <w:r w:rsidRPr="00C40709">
              <w:rPr>
                <w:rFonts w:asciiTheme="majorHAnsi" w:eastAsia="Calibri" w:hAnsiTheme="majorHAnsi" w:cstheme="majorHAnsi"/>
                <w:b/>
                <w:lang w:val="es-ES"/>
              </w:rPr>
              <w:t>menor de 18 años</w:t>
            </w:r>
            <w:r w:rsidRPr="00C40709">
              <w:rPr>
                <w:rFonts w:asciiTheme="majorHAnsi" w:eastAsia="Calibri" w:hAnsiTheme="majorHAnsi" w:cstheme="majorHAnsi"/>
                <w:lang w:val="es-ES"/>
              </w:rPr>
              <w:t>, a efectos de todos los delitos de la explotación sexual de niñas, niños y adolescentes independientemente de la edad del consentimiento sexual.</w:t>
            </w:r>
          </w:p>
        </w:tc>
        <w:tc>
          <w:tcPr>
            <w:tcW w:w="1610" w:type="dxa"/>
            <w:shd w:val="clear" w:color="auto" w:fill="auto"/>
            <w:tcMar>
              <w:top w:w="100" w:type="dxa"/>
              <w:left w:w="100" w:type="dxa"/>
              <w:bottom w:w="100" w:type="dxa"/>
              <w:right w:w="100" w:type="dxa"/>
            </w:tcMar>
          </w:tcPr>
          <w:p w14:paraId="0000002B"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Sí</w:t>
            </w:r>
          </w:p>
        </w:tc>
        <w:tc>
          <w:tcPr>
            <w:tcW w:w="4450" w:type="dxa"/>
            <w:shd w:val="clear" w:color="auto" w:fill="auto"/>
            <w:tcMar>
              <w:top w:w="100" w:type="dxa"/>
              <w:left w:w="100" w:type="dxa"/>
              <w:bottom w:w="100" w:type="dxa"/>
              <w:right w:w="100" w:type="dxa"/>
            </w:tcMar>
          </w:tcPr>
          <w:p w14:paraId="0000002C" w14:textId="77777777" w:rsidR="00241F4E" w:rsidRPr="00C40709" w:rsidRDefault="00892C68" w:rsidP="00C40709">
            <w:pPr>
              <w:widowControl w:val="0"/>
              <w:spacing w:line="240" w:lineRule="auto"/>
              <w:jc w:val="both"/>
              <w:rPr>
                <w:rFonts w:asciiTheme="majorHAnsi" w:eastAsia="Calibri" w:hAnsiTheme="majorHAnsi" w:cstheme="majorHAnsi"/>
                <w:lang w:val="es-ES"/>
              </w:rPr>
            </w:pPr>
            <w:r w:rsidRPr="00C40709">
              <w:rPr>
                <w:rFonts w:asciiTheme="majorHAnsi" w:eastAsia="Calibri" w:hAnsiTheme="majorHAnsi" w:cstheme="majorHAnsi"/>
                <w:lang w:val="es-ES"/>
              </w:rPr>
              <w:t>El Código de la Niñez y Adolescencia en su artículo 4 define como niño o niña la persona que no ha cumplido doce años de edad y como adolescente la persona de ambos sexos entre doce y dieciocho años de edad.</w:t>
            </w:r>
          </w:p>
          <w:p w14:paraId="00000030" w14:textId="3639FC4C" w:rsidR="00241F4E" w:rsidRPr="00C40709" w:rsidRDefault="00241F4E" w:rsidP="00C40709">
            <w:pPr>
              <w:widowControl w:val="0"/>
              <w:spacing w:line="240" w:lineRule="auto"/>
              <w:jc w:val="both"/>
              <w:rPr>
                <w:rFonts w:asciiTheme="majorHAnsi" w:eastAsia="Calibri" w:hAnsiTheme="majorHAnsi" w:cstheme="majorHAnsi"/>
                <w:lang w:val="es-ES"/>
              </w:rPr>
            </w:pPr>
          </w:p>
        </w:tc>
      </w:tr>
      <w:tr w:rsidR="00241F4E" w:rsidRPr="00C40709" w14:paraId="2B96D1F3" w14:textId="77777777" w:rsidTr="00E2483A">
        <w:tc>
          <w:tcPr>
            <w:tcW w:w="585" w:type="dxa"/>
            <w:shd w:val="clear" w:color="auto" w:fill="auto"/>
            <w:tcMar>
              <w:top w:w="100" w:type="dxa"/>
              <w:left w:w="100" w:type="dxa"/>
              <w:bottom w:w="100" w:type="dxa"/>
              <w:right w:w="100" w:type="dxa"/>
            </w:tcMar>
          </w:tcPr>
          <w:p w14:paraId="00000031"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7.</w:t>
            </w:r>
          </w:p>
        </w:tc>
        <w:tc>
          <w:tcPr>
            <w:tcW w:w="3675" w:type="dxa"/>
            <w:shd w:val="clear" w:color="auto" w:fill="auto"/>
            <w:tcMar>
              <w:top w:w="100" w:type="dxa"/>
              <w:left w:w="100" w:type="dxa"/>
              <w:bottom w:w="100" w:type="dxa"/>
              <w:right w:w="100" w:type="dxa"/>
            </w:tcMar>
          </w:tcPr>
          <w:p w14:paraId="486F7582" w14:textId="77777777" w:rsidR="00F93808" w:rsidRPr="00C40709" w:rsidRDefault="00F93808" w:rsidP="00F9380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Asegurar que </w:t>
            </w:r>
            <w:r w:rsidRPr="00C40709">
              <w:rPr>
                <w:rFonts w:asciiTheme="majorHAnsi" w:eastAsia="Calibri" w:hAnsiTheme="majorHAnsi" w:cstheme="majorHAnsi"/>
                <w:b/>
                <w:lang w:val="es-ES"/>
              </w:rPr>
              <w:t>la edad de consentimiento sexual</w:t>
            </w:r>
            <w:r w:rsidRPr="00C40709">
              <w:rPr>
                <w:rFonts w:asciiTheme="majorHAnsi" w:eastAsia="Calibri" w:hAnsiTheme="majorHAnsi" w:cstheme="majorHAnsi"/>
                <w:lang w:val="es-ES"/>
              </w:rPr>
              <w:t xml:space="preserve"> tanto para las personas de sexo masculino como </w:t>
            </w:r>
          </w:p>
          <w:p w14:paraId="76FBD1F1" w14:textId="77777777" w:rsidR="00F93808" w:rsidRPr="00C40709" w:rsidRDefault="00F93808" w:rsidP="00F93808">
            <w:pPr>
              <w:widowControl w:val="0"/>
              <w:spacing w:line="240" w:lineRule="auto"/>
              <w:rPr>
                <w:rFonts w:asciiTheme="majorHAnsi" w:eastAsia="Calibri" w:hAnsiTheme="majorHAnsi" w:cstheme="majorHAnsi"/>
                <w:b/>
                <w:lang w:val="es-ES"/>
              </w:rPr>
            </w:pPr>
            <w:r w:rsidRPr="00C40709">
              <w:rPr>
                <w:rFonts w:asciiTheme="majorHAnsi" w:eastAsia="Calibri" w:hAnsiTheme="majorHAnsi" w:cstheme="majorHAnsi"/>
                <w:lang w:val="es-ES"/>
              </w:rPr>
              <w:t xml:space="preserve">para las de sexo femenino sea de 18 años y que se proporcione </w:t>
            </w:r>
            <w:r w:rsidRPr="00C40709">
              <w:rPr>
                <w:rFonts w:asciiTheme="majorHAnsi" w:eastAsia="Calibri" w:hAnsiTheme="majorHAnsi" w:cstheme="majorHAnsi"/>
                <w:b/>
                <w:lang w:val="es-ES"/>
              </w:rPr>
              <w:t>una exención de edad cercana</w:t>
            </w:r>
          </w:p>
          <w:p w14:paraId="35B202F6" w14:textId="77777777" w:rsidR="00F93808" w:rsidRPr="00C40709" w:rsidRDefault="00F93808" w:rsidP="00F9380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(hasta 3 años) para las relaciones sexuales consensuales entre adolescentes a fin de permitir el </w:t>
            </w:r>
          </w:p>
          <w:p w14:paraId="09286D50" w14:textId="77777777" w:rsidR="00F93808" w:rsidRPr="00C40709" w:rsidRDefault="00F93808" w:rsidP="00F9380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contacto sexual voluntario, bien informado y mutuo entre compañeros de la misma edad y para </w:t>
            </w:r>
          </w:p>
          <w:p w14:paraId="00000032" w14:textId="6EF656A6" w:rsidR="00241F4E" w:rsidRPr="00C40709" w:rsidRDefault="00F93808" w:rsidP="00F9380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prevenir la criminalización de los jóvenes en relaciones sexuales voluntarias.</w:t>
            </w:r>
          </w:p>
        </w:tc>
        <w:tc>
          <w:tcPr>
            <w:tcW w:w="1610" w:type="dxa"/>
            <w:shd w:val="clear" w:color="auto" w:fill="auto"/>
            <w:tcMar>
              <w:top w:w="100" w:type="dxa"/>
              <w:left w:w="100" w:type="dxa"/>
              <w:bottom w:w="100" w:type="dxa"/>
              <w:right w:w="100" w:type="dxa"/>
            </w:tcMar>
          </w:tcPr>
          <w:p w14:paraId="00000033"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No</w:t>
            </w:r>
          </w:p>
        </w:tc>
        <w:tc>
          <w:tcPr>
            <w:tcW w:w="4450" w:type="dxa"/>
            <w:shd w:val="clear" w:color="auto" w:fill="auto"/>
            <w:tcMar>
              <w:top w:w="100" w:type="dxa"/>
              <w:left w:w="100" w:type="dxa"/>
              <w:bottom w:w="100" w:type="dxa"/>
              <w:right w:w="100" w:type="dxa"/>
            </w:tcMar>
          </w:tcPr>
          <w:p w14:paraId="00000034" w14:textId="3CAB5455" w:rsidR="00241F4E" w:rsidRPr="00C40709" w:rsidRDefault="00087AF4" w:rsidP="00C40709">
            <w:pPr>
              <w:widowControl w:val="0"/>
              <w:spacing w:line="240" w:lineRule="auto"/>
              <w:jc w:val="both"/>
              <w:rPr>
                <w:rFonts w:asciiTheme="majorHAnsi" w:eastAsia="Calibri" w:hAnsiTheme="majorHAnsi" w:cstheme="majorHAnsi"/>
                <w:lang w:val="es-ES"/>
              </w:rPr>
            </w:pPr>
            <w:r w:rsidRPr="00C40709">
              <w:rPr>
                <w:rFonts w:asciiTheme="majorHAnsi" w:eastAsia="Calibri" w:hAnsiTheme="majorHAnsi" w:cstheme="majorHAnsi"/>
                <w:lang w:val="es-ES" w:eastAsia="es-ES"/>
              </w:rPr>
              <w:t>La edad de consentimiento sexual fue modificada en 2021 de los 18 a los 14 años</w:t>
            </w:r>
            <w:r w:rsidR="000D257E" w:rsidRPr="00C40709">
              <w:rPr>
                <w:rFonts w:asciiTheme="majorHAnsi" w:hAnsiTheme="majorHAnsi" w:cstheme="majorHAnsi"/>
                <w:lang w:val="es-ES"/>
              </w:rPr>
              <w:t xml:space="preserve"> (artículo 175(5) COIP)</w:t>
            </w:r>
            <w:r w:rsidRPr="00C40709">
              <w:rPr>
                <w:rFonts w:asciiTheme="majorHAnsi" w:eastAsia="Calibri" w:hAnsiTheme="majorHAnsi" w:cstheme="majorHAnsi"/>
                <w:lang w:val="es-ES" w:eastAsia="es-ES"/>
              </w:rPr>
              <w:t xml:space="preserve"> por la Corte Constitucional</w:t>
            </w:r>
            <w:r w:rsidRPr="00C40709">
              <w:rPr>
                <w:rStyle w:val="FootnoteReference"/>
                <w:rFonts w:asciiTheme="majorHAnsi" w:eastAsia="Calibri" w:hAnsiTheme="majorHAnsi" w:cstheme="majorHAnsi"/>
                <w:lang w:val="es-ES" w:eastAsia="es-ES"/>
              </w:rPr>
              <w:footnoteReference w:id="6"/>
            </w:r>
            <w:r w:rsidRPr="00C40709">
              <w:rPr>
                <w:rFonts w:asciiTheme="majorHAnsi" w:eastAsia="Calibri" w:hAnsiTheme="majorHAnsi" w:cstheme="majorHAnsi"/>
                <w:lang w:val="es-ES" w:eastAsia="es-ES"/>
              </w:rPr>
              <w:t xml:space="preserve"> y, a pesar de que la ley no regula la exención de la responsabilidad penal cuando existe una pequeña diferencia etaria entre los y las adolescentes que consienten mantener una relación sexual, la Corte Constitucional añadió la diferencia etaria como uno de los múltiples factores a tener en cuenta cuando se evalúa el consentimiento durante el enjuiciamiento de delitos sexuales contra adolescentes de entre 14 y 18 años.</w:t>
            </w:r>
            <w:r w:rsidRPr="00C40709">
              <w:rPr>
                <w:rStyle w:val="FootnoteReference"/>
                <w:rFonts w:asciiTheme="majorHAnsi" w:eastAsia="Calibri" w:hAnsiTheme="majorHAnsi" w:cstheme="majorHAnsi"/>
                <w:lang w:val="es-ES" w:eastAsia="es-ES"/>
              </w:rPr>
              <w:footnoteReference w:id="7"/>
            </w:r>
          </w:p>
        </w:tc>
      </w:tr>
      <w:tr w:rsidR="00241F4E" w:rsidRPr="00C40709" w14:paraId="54012C8B" w14:textId="77777777" w:rsidTr="00E2483A">
        <w:tc>
          <w:tcPr>
            <w:tcW w:w="585" w:type="dxa"/>
            <w:shd w:val="clear" w:color="auto" w:fill="auto"/>
            <w:tcMar>
              <w:top w:w="100" w:type="dxa"/>
              <w:left w:w="100" w:type="dxa"/>
              <w:bottom w:w="100" w:type="dxa"/>
              <w:right w:w="100" w:type="dxa"/>
            </w:tcMar>
          </w:tcPr>
          <w:p w14:paraId="00000035"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8.</w:t>
            </w:r>
          </w:p>
        </w:tc>
        <w:tc>
          <w:tcPr>
            <w:tcW w:w="3675" w:type="dxa"/>
            <w:shd w:val="clear" w:color="auto" w:fill="auto"/>
            <w:tcMar>
              <w:top w:w="100" w:type="dxa"/>
              <w:left w:w="100" w:type="dxa"/>
              <w:bottom w:w="100" w:type="dxa"/>
              <w:right w:w="100" w:type="dxa"/>
            </w:tcMar>
          </w:tcPr>
          <w:p w14:paraId="15352700" w14:textId="77777777" w:rsidR="00F93808" w:rsidRPr="00C40709" w:rsidRDefault="00F93808" w:rsidP="00F93808">
            <w:pPr>
              <w:widowControl w:val="0"/>
              <w:spacing w:line="240" w:lineRule="auto"/>
              <w:rPr>
                <w:rFonts w:asciiTheme="majorHAnsi" w:eastAsia="Calibri" w:hAnsiTheme="majorHAnsi" w:cstheme="majorHAnsi"/>
                <w:b/>
                <w:lang w:val="es-ES"/>
              </w:rPr>
            </w:pPr>
            <w:r w:rsidRPr="00C40709">
              <w:rPr>
                <w:rFonts w:asciiTheme="majorHAnsi" w:eastAsia="Calibri" w:hAnsiTheme="majorHAnsi" w:cstheme="majorHAnsi"/>
                <w:lang w:val="es-ES"/>
              </w:rPr>
              <w:t xml:space="preserve">Tener una ley o reglamento que establezca </w:t>
            </w:r>
            <w:r w:rsidRPr="00C40709">
              <w:rPr>
                <w:rFonts w:asciiTheme="majorHAnsi" w:eastAsia="Calibri" w:hAnsiTheme="majorHAnsi" w:cstheme="majorHAnsi"/>
                <w:b/>
                <w:lang w:val="es-ES"/>
              </w:rPr>
              <w:t xml:space="preserve">un mecanismo para el registro centralizado de delincuentes </w:t>
            </w:r>
          </w:p>
          <w:p w14:paraId="00000036" w14:textId="3325D530" w:rsidR="00241F4E" w:rsidRPr="00C40709" w:rsidRDefault="00F93808" w:rsidP="00F9380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b/>
                <w:lang w:val="es-ES"/>
              </w:rPr>
              <w:t>sexuales</w:t>
            </w:r>
            <w:r w:rsidRPr="00C40709">
              <w:rPr>
                <w:rFonts w:asciiTheme="majorHAnsi" w:eastAsia="Calibri" w:hAnsiTheme="majorHAnsi" w:cstheme="majorHAnsi"/>
                <w:lang w:val="es-ES"/>
              </w:rPr>
              <w:t xml:space="preserve"> que se haya implementado / determinado.</w:t>
            </w:r>
          </w:p>
        </w:tc>
        <w:tc>
          <w:tcPr>
            <w:tcW w:w="1610" w:type="dxa"/>
            <w:shd w:val="clear" w:color="auto" w:fill="auto"/>
            <w:tcMar>
              <w:top w:w="100" w:type="dxa"/>
              <w:left w:w="100" w:type="dxa"/>
              <w:bottom w:w="100" w:type="dxa"/>
              <w:right w:w="100" w:type="dxa"/>
            </w:tcMar>
          </w:tcPr>
          <w:p w14:paraId="00000037"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No</w:t>
            </w:r>
          </w:p>
        </w:tc>
        <w:tc>
          <w:tcPr>
            <w:tcW w:w="4450" w:type="dxa"/>
            <w:shd w:val="clear" w:color="auto" w:fill="auto"/>
            <w:tcMar>
              <w:top w:w="100" w:type="dxa"/>
              <w:left w:w="100" w:type="dxa"/>
              <w:bottom w:w="100" w:type="dxa"/>
              <w:right w:w="100" w:type="dxa"/>
            </w:tcMar>
          </w:tcPr>
          <w:p w14:paraId="00000038" w14:textId="77777777" w:rsidR="00241F4E" w:rsidRPr="00C40709" w:rsidRDefault="00892C68" w:rsidP="00C40709">
            <w:pPr>
              <w:widowControl w:val="0"/>
              <w:spacing w:line="240" w:lineRule="auto"/>
              <w:jc w:val="both"/>
              <w:rPr>
                <w:rFonts w:asciiTheme="majorHAnsi" w:eastAsia="Calibri" w:hAnsiTheme="majorHAnsi" w:cstheme="majorHAnsi"/>
                <w:lang w:val="es-ES"/>
              </w:rPr>
            </w:pPr>
            <w:r w:rsidRPr="00C40709">
              <w:rPr>
                <w:rFonts w:asciiTheme="majorHAnsi" w:eastAsia="Calibri" w:hAnsiTheme="majorHAnsi" w:cstheme="majorHAnsi"/>
                <w:lang w:val="es-ES"/>
              </w:rPr>
              <w:t>En diciembre de 2019, la Corte Constitucional declaró la inconstitucionalidad total del proyecto de Ley orgánica de registro ecuatoriano de violadores, abusadores y agresores sexuales de niñas, niños y adolescentes. El proyecto establecía que exista una inhabilitación a las personas con sentencia ejecutoriada por delitos cometidos en contra de la integridad sexual y reproductiva de las niñas, los niños y los adolescentes para ejercer un cargo, profesión, empleo, oficio o voluntariado.</w:t>
            </w:r>
          </w:p>
        </w:tc>
      </w:tr>
      <w:tr w:rsidR="00241F4E" w:rsidRPr="00C40709" w14:paraId="4C16C575" w14:textId="77777777" w:rsidTr="00E2483A">
        <w:tc>
          <w:tcPr>
            <w:tcW w:w="585" w:type="dxa"/>
            <w:shd w:val="clear" w:color="auto" w:fill="auto"/>
            <w:tcMar>
              <w:top w:w="100" w:type="dxa"/>
              <w:left w:w="100" w:type="dxa"/>
              <w:bottom w:w="100" w:type="dxa"/>
              <w:right w:w="100" w:type="dxa"/>
            </w:tcMar>
          </w:tcPr>
          <w:p w14:paraId="00000039"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9.</w:t>
            </w:r>
          </w:p>
        </w:tc>
        <w:tc>
          <w:tcPr>
            <w:tcW w:w="3675" w:type="dxa"/>
            <w:shd w:val="clear" w:color="auto" w:fill="auto"/>
            <w:tcMar>
              <w:top w:w="100" w:type="dxa"/>
              <w:left w:w="100" w:type="dxa"/>
              <w:bottom w:w="100" w:type="dxa"/>
              <w:right w:w="100" w:type="dxa"/>
            </w:tcMar>
          </w:tcPr>
          <w:p w14:paraId="1AEA3C1E" w14:textId="77777777" w:rsidR="00F93808" w:rsidRPr="00C40709" w:rsidRDefault="00F93808" w:rsidP="00F9380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Establecer </w:t>
            </w:r>
            <w:r w:rsidRPr="00C40709">
              <w:rPr>
                <w:rFonts w:asciiTheme="majorHAnsi" w:eastAsia="Calibri" w:hAnsiTheme="majorHAnsi" w:cstheme="majorHAnsi"/>
                <w:b/>
                <w:lang w:val="es-ES"/>
              </w:rPr>
              <w:t>condiciones de libertad bajo fianza</w:t>
            </w:r>
            <w:r w:rsidRPr="00C40709">
              <w:rPr>
                <w:rFonts w:asciiTheme="majorHAnsi" w:eastAsia="Calibri" w:hAnsiTheme="majorHAnsi" w:cstheme="majorHAnsi"/>
                <w:lang w:val="es-ES"/>
              </w:rPr>
              <w:t xml:space="preserve"> que prohíban a las personas acusadas de delitos </w:t>
            </w:r>
          </w:p>
          <w:p w14:paraId="0000003A" w14:textId="271105A5" w:rsidR="00241F4E" w:rsidRPr="00C40709" w:rsidRDefault="00F93808" w:rsidP="00F9380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sexuales contra niñas, niños y adolescentes viajar fuera del país.</w:t>
            </w:r>
          </w:p>
        </w:tc>
        <w:tc>
          <w:tcPr>
            <w:tcW w:w="1610" w:type="dxa"/>
            <w:shd w:val="clear" w:color="auto" w:fill="auto"/>
            <w:tcMar>
              <w:top w:w="100" w:type="dxa"/>
              <w:left w:w="100" w:type="dxa"/>
              <w:bottom w:w="100" w:type="dxa"/>
              <w:right w:w="100" w:type="dxa"/>
            </w:tcMar>
          </w:tcPr>
          <w:p w14:paraId="0000003B"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Sí</w:t>
            </w:r>
          </w:p>
        </w:tc>
        <w:tc>
          <w:tcPr>
            <w:tcW w:w="4450" w:type="dxa"/>
            <w:shd w:val="clear" w:color="auto" w:fill="auto"/>
            <w:tcMar>
              <w:top w:w="100" w:type="dxa"/>
              <w:left w:w="100" w:type="dxa"/>
              <w:bottom w:w="100" w:type="dxa"/>
              <w:right w:w="100" w:type="dxa"/>
            </w:tcMar>
          </w:tcPr>
          <w:p w14:paraId="0000003C" w14:textId="18399AAD" w:rsidR="00241F4E" w:rsidRPr="00C40709" w:rsidRDefault="006701B8" w:rsidP="00C40709">
            <w:pPr>
              <w:widowControl w:val="0"/>
              <w:spacing w:line="240" w:lineRule="auto"/>
              <w:jc w:val="both"/>
              <w:rPr>
                <w:rFonts w:asciiTheme="majorHAnsi" w:eastAsia="Calibri" w:hAnsiTheme="majorHAnsi" w:cstheme="majorHAnsi"/>
                <w:lang w:val="es-ES"/>
              </w:rPr>
            </w:pPr>
            <w:r>
              <w:rPr>
                <w:rFonts w:asciiTheme="majorHAnsi" w:eastAsia="Calibri" w:hAnsiTheme="majorHAnsi" w:cstheme="majorHAnsi"/>
                <w:lang w:val="es-ES"/>
              </w:rPr>
              <w:t>La libertad bajo fianza no se permite para los delitos que lleven aparejada una pena de prisión superior a 5 años (artículo 544 COIP), tal y como sucede con los delitos sexuales contra NNA.</w:t>
            </w:r>
          </w:p>
        </w:tc>
      </w:tr>
      <w:tr w:rsidR="00241F4E" w:rsidRPr="00C40709" w14:paraId="20A2081A" w14:textId="77777777" w:rsidTr="00E2483A">
        <w:tc>
          <w:tcPr>
            <w:tcW w:w="585" w:type="dxa"/>
            <w:shd w:val="clear" w:color="auto" w:fill="auto"/>
            <w:tcMar>
              <w:top w:w="100" w:type="dxa"/>
              <w:left w:w="100" w:type="dxa"/>
              <w:bottom w:w="100" w:type="dxa"/>
              <w:right w:w="100" w:type="dxa"/>
            </w:tcMar>
          </w:tcPr>
          <w:p w14:paraId="0000003D"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10.</w:t>
            </w:r>
          </w:p>
        </w:tc>
        <w:tc>
          <w:tcPr>
            <w:tcW w:w="3675" w:type="dxa"/>
            <w:shd w:val="clear" w:color="auto" w:fill="auto"/>
            <w:tcMar>
              <w:top w:w="100" w:type="dxa"/>
              <w:left w:w="100" w:type="dxa"/>
              <w:bottom w:w="100" w:type="dxa"/>
              <w:right w:w="100" w:type="dxa"/>
            </w:tcMar>
          </w:tcPr>
          <w:p w14:paraId="551E112F" w14:textId="77777777" w:rsidR="00F93808" w:rsidRPr="00C40709" w:rsidRDefault="00F93808" w:rsidP="00F9380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Asegurar que la ley penalice la mera </w:t>
            </w:r>
            <w:r w:rsidRPr="00C40709">
              <w:rPr>
                <w:rFonts w:asciiTheme="majorHAnsi" w:eastAsia="Calibri" w:hAnsiTheme="majorHAnsi" w:cstheme="majorHAnsi"/>
                <w:b/>
                <w:lang w:val="es-ES"/>
              </w:rPr>
              <w:t>tentativa de cometer un delito</w:t>
            </w:r>
            <w:r w:rsidRPr="00C40709">
              <w:rPr>
                <w:rFonts w:asciiTheme="majorHAnsi" w:eastAsia="Calibri" w:hAnsiTheme="majorHAnsi" w:cstheme="majorHAnsi"/>
                <w:lang w:val="es-ES"/>
              </w:rPr>
              <w:t xml:space="preserve"> de explotación sexual de </w:t>
            </w:r>
          </w:p>
          <w:p w14:paraId="0000003E" w14:textId="1C5B84D2" w:rsidR="00241F4E" w:rsidRPr="00C40709" w:rsidRDefault="00F93808" w:rsidP="00F9380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niñas, niños y adolescentes.</w:t>
            </w:r>
          </w:p>
        </w:tc>
        <w:tc>
          <w:tcPr>
            <w:tcW w:w="1610" w:type="dxa"/>
            <w:shd w:val="clear" w:color="auto" w:fill="auto"/>
            <w:tcMar>
              <w:top w:w="100" w:type="dxa"/>
              <w:left w:w="100" w:type="dxa"/>
              <w:bottom w:w="100" w:type="dxa"/>
              <w:right w:w="100" w:type="dxa"/>
            </w:tcMar>
          </w:tcPr>
          <w:p w14:paraId="0000003F"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Sí</w:t>
            </w:r>
          </w:p>
        </w:tc>
        <w:tc>
          <w:tcPr>
            <w:tcW w:w="4450" w:type="dxa"/>
            <w:shd w:val="clear" w:color="auto" w:fill="auto"/>
            <w:tcMar>
              <w:top w:w="100" w:type="dxa"/>
              <w:left w:w="100" w:type="dxa"/>
              <w:bottom w:w="100" w:type="dxa"/>
              <w:right w:w="100" w:type="dxa"/>
            </w:tcMar>
          </w:tcPr>
          <w:p w14:paraId="00000048" w14:textId="1AD3A486" w:rsidR="00241F4E" w:rsidRPr="00C40709" w:rsidRDefault="00892C68" w:rsidP="00C40709">
            <w:pPr>
              <w:widowControl w:val="0"/>
              <w:spacing w:line="240" w:lineRule="auto"/>
              <w:jc w:val="both"/>
              <w:rPr>
                <w:rFonts w:asciiTheme="majorHAnsi" w:eastAsia="Calibri" w:hAnsiTheme="majorHAnsi" w:cstheme="majorHAnsi"/>
                <w:lang w:val="es-ES"/>
              </w:rPr>
            </w:pPr>
            <w:r w:rsidRPr="00C40709">
              <w:rPr>
                <w:rFonts w:asciiTheme="majorHAnsi" w:eastAsia="Calibri" w:hAnsiTheme="majorHAnsi" w:cstheme="majorHAnsi"/>
                <w:lang w:val="es-ES"/>
              </w:rPr>
              <w:t xml:space="preserve">Artículo 39 del COIP define la tentativa y la penaliza con uno a dos tercios de la pena aplicable que le </w:t>
            </w:r>
            <w:r w:rsidR="000D257E" w:rsidRPr="00C40709">
              <w:rPr>
                <w:rFonts w:asciiTheme="majorHAnsi" w:eastAsia="Calibri" w:hAnsiTheme="majorHAnsi" w:cstheme="majorHAnsi"/>
                <w:lang w:val="es-ES"/>
              </w:rPr>
              <w:t>correspondería</w:t>
            </w:r>
            <w:r w:rsidRPr="00C40709">
              <w:rPr>
                <w:rFonts w:asciiTheme="majorHAnsi" w:eastAsia="Calibri" w:hAnsiTheme="majorHAnsi" w:cstheme="majorHAnsi"/>
                <w:lang w:val="es-ES"/>
              </w:rPr>
              <w:t xml:space="preserve"> si el delito se hubiera consumado.</w:t>
            </w:r>
          </w:p>
          <w:p w14:paraId="00000049" w14:textId="77777777" w:rsidR="00241F4E" w:rsidRPr="00C40709" w:rsidRDefault="00241F4E" w:rsidP="00C40709">
            <w:pPr>
              <w:widowControl w:val="0"/>
              <w:spacing w:line="240" w:lineRule="auto"/>
              <w:jc w:val="both"/>
              <w:rPr>
                <w:rFonts w:asciiTheme="majorHAnsi" w:eastAsia="Calibri" w:hAnsiTheme="majorHAnsi" w:cstheme="majorHAnsi"/>
                <w:lang w:val="es-ES"/>
              </w:rPr>
            </w:pPr>
          </w:p>
          <w:p w14:paraId="0000004A" w14:textId="68B039A4" w:rsidR="00241F4E" w:rsidRPr="00C40709" w:rsidRDefault="00241F4E" w:rsidP="00C40709">
            <w:pPr>
              <w:widowControl w:val="0"/>
              <w:spacing w:line="240" w:lineRule="auto"/>
              <w:jc w:val="both"/>
              <w:rPr>
                <w:rFonts w:asciiTheme="majorHAnsi" w:eastAsia="Calibri" w:hAnsiTheme="majorHAnsi" w:cstheme="majorHAnsi"/>
                <w:lang w:val="es-ES"/>
              </w:rPr>
            </w:pPr>
          </w:p>
        </w:tc>
      </w:tr>
      <w:tr w:rsidR="00241F4E" w:rsidRPr="00C40709" w14:paraId="031D84D2" w14:textId="77777777" w:rsidTr="00E2483A">
        <w:tc>
          <w:tcPr>
            <w:tcW w:w="585" w:type="dxa"/>
            <w:shd w:val="clear" w:color="auto" w:fill="auto"/>
            <w:tcMar>
              <w:top w:w="100" w:type="dxa"/>
              <w:left w:w="100" w:type="dxa"/>
              <w:bottom w:w="100" w:type="dxa"/>
              <w:right w:w="100" w:type="dxa"/>
            </w:tcMar>
          </w:tcPr>
          <w:p w14:paraId="0000004B"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11.</w:t>
            </w:r>
          </w:p>
        </w:tc>
        <w:tc>
          <w:tcPr>
            <w:tcW w:w="3675" w:type="dxa"/>
            <w:shd w:val="clear" w:color="auto" w:fill="auto"/>
            <w:tcMar>
              <w:top w:w="100" w:type="dxa"/>
              <w:left w:w="100" w:type="dxa"/>
              <w:bottom w:w="100" w:type="dxa"/>
              <w:right w:w="100" w:type="dxa"/>
            </w:tcMar>
          </w:tcPr>
          <w:p w14:paraId="5EF5A0A3" w14:textId="77777777" w:rsidR="00D96FA7" w:rsidRPr="00C40709" w:rsidRDefault="00D96FA7" w:rsidP="00D96FA7">
            <w:pPr>
              <w:widowControl w:val="0"/>
              <w:spacing w:line="240" w:lineRule="auto"/>
              <w:rPr>
                <w:rFonts w:asciiTheme="majorHAnsi" w:eastAsia="Calibri" w:hAnsiTheme="majorHAnsi" w:cstheme="majorHAnsi"/>
                <w:b/>
                <w:lang w:val="es-ES"/>
              </w:rPr>
            </w:pPr>
            <w:r w:rsidRPr="00C40709">
              <w:rPr>
                <w:rFonts w:asciiTheme="majorHAnsi" w:eastAsia="Calibri" w:hAnsiTheme="majorHAnsi" w:cstheme="majorHAnsi"/>
                <w:lang w:val="es-ES"/>
              </w:rPr>
              <w:t xml:space="preserve">Imponer sanciones más severas por </w:t>
            </w:r>
            <w:r w:rsidRPr="00C40709">
              <w:rPr>
                <w:rFonts w:asciiTheme="majorHAnsi" w:eastAsia="Calibri" w:hAnsiTheme="majorHAnsi" w:cstheme="majorHAnsi"/>
                <w:b/>
                <w:lang w:val="es-ES"/>
              </w:rPr>
              <w:lastRenderedPageBreak/>
              <w:t xml:space="preserve">reincidencia en caso de explotación sexual contra niñas, niños y </w:t>
            </w:r>
          </w:p>
          <w:p w14:paraId="10206602" w14:textId="77777777" w:rsidR="00D96FA7"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b/>
                <w:lang w:val="es-ES"/>
              </w:rPr>
              <w:t>adolescentes</w:t>
            </w:r>
            <w:r w:rsidRPr="00C40709">
              <w:rPr>
                <w:rFonts w:asciiTheme="majorHAnsi" w:eastAsia="Calibri" w:hAnsiTheme="majorHAnsi" w:cstheme="majorHAnsi"/>
                <w:lang w:val="es-ES"/>
              </w:rPr>
              <w:t xml:space="preserve">, p. ej. al definir la reincidencia como una circunstancia agravante, independientemente </w:t>
            </w:r>
          </w:p>
          <w:p w14:paraId="0000004C" w14:textId="3AF5FC47" w:rsidR="00241F4E"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de que los delitos hayan sido perpetrados en el extranjero o en el país. </w:t>
            </w:r>
          </w:p>
        </w:tc>
        <w:tc>
          <w:tcPr>
            <w:tcW w:w="1610" w:type="dxa"/>
            <w:shd w:val="clear" w:color="auto" w:fill="auto"/>
            <w:tcMar>
              <w:top w:w="100" w:type="dxa"/>
              <w:left w:w="100" w:type="dxa"/>
              <w:bottom w:w="100" w:type="dxa"/>
              <w:right w:w="100" w:type="dxa"/>
            </w:tcMar>
          </w:tcPr>
          <w:p w14:paraId="0000004D"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lastRenderedPageBreak/>
              <w:t>Sí</w:t>
            </w:r>
          </w:p>
        </w:tc>
        <w:tc>
          <w:tcPr>
            <w:tcW w:w="4450" w:type="dxa"/>
            <w:shd w:val="clear" w:color="auto" w:fill="auto"/>
            <w:tcMar>
              <w:top w:w="100" w:type="dxa"/>
              <w:left w:w="100" w:type="dxa"/>
              <w:bottom w:w="100" w:type="dxa"/>
              <w:right w:w="100" w:type="dxa"/>
            </w:tcMar>
          </w:tcPr>
          <w:p w14:paraId="0000004E" w14:textId="7A25196C" w:rsidR="00241F4E" w:rsidRPr="00C40709" w:rsidRDefault="00892C68" w:rsidP="00C40709">
            <w:pPr>
              <w:widowControl w:val="0"/>
              <w:spacing w:line="240" w:lineRule="auto"/>
              <w:jc w:val="both"/>
              <w:rPr>
                <w:rFonts w:asciiTheme="majorHAnsi" w:eastAsia="Calibri" w:hAnsiTheme="majorHAnsi" w:cstheme="majorHAnsi"/>
                <w:lang w:val="es-ES"/>
              </w:rPr>
            </w:pPr>
            <w:r w:rsidRPr="00C40709">
              <w:rPr>
                <w:rFonts w:asciiTheme="majorHAnsi" w:eastAsia="Calibri" w:hAnsiTheme="majorHAnsi" w:cstheme="majorHAnsi"/>
                <w:lang w:val="es-ES"/>
              </w:rPr>
              <w:t xml:space="preserve">El artículo 57 del COIP define la reincidencia y </w:t>
            </w:r>
            <w:r w:rsidRPr="00C40709">
              <w:rPr>
                <w:rFonts w:asciiTheme="majorHAnsi" w:eastAsia="Calibri" w:hAnsiTheme="majorHAnsi" w:cstheme="majorHAnsi"/>
                <w:lang w:val="es-ES"/>
              </w:rPr>
              <w:lastRenderedPageBreak/>
              <w:t>establece la imposición de la pena máxima prevista en el tipo penal incrementada en un tercio</w:t>
            </w:r>
            <w:r w:rsidR="00452432" w:rsidRPr="00C40709">
              <w:rPr>
                <w:rFonts w:asciiTheme="majorHAnsi" w:eastAsia="Calibri" w:hAnsiTheme="majorHAnsi" w:cstheme="majorHAnsi"/>
                <w:lang w:val="es-ES"/>
              </w:rPr>
              <w:t xml:space="preserve"> (todos los delitos relacionados con la ESNNA son sancionados por el COIP).</w:t>
            </w:r>
          </w:p>
        </w:tc>
      </w:tr>
      <w:tr w:rsidR="00241F4E" w:rsidRPr="00C40709" w14:paraId="1E7D28AF" w14:textId="77777777" w:rsidTr="00E2483A">
        <w:tc>
          <w:tcPr>
            <w:tcW w:w="585" w:type="dxa"/>
            <w:shd w:val="clear" w:color="auto" w:fill="auto"/>
            <w:tcMar>
              <w:top w:w="100" w:type="dxa"/>
              <w:left w:w="100" w:type="dxa"/>
              <w:bottom w:w="100" w:type="dxa"/>
              <w:right w:w="100" w:type="dxa"/>
            </w:tcMar>
          </w:tcPr>
          <w:p w14:paraId="0000004F"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lastRenderedPageBreak/>
              <w:t>12.</w:t>
            </w:r>
          </w:p>
        </w:tc>
        <w:tc>
          <w:tcPr>
            <w:tcW w:w="3675" w:type="dxa"/>
            <w:shd w:val="clear" w:color="auto" w:fill="auto"/>
            <w:tcMar>
              <w:top w:w="100" w:type="dxa"/>
              <w:left w:w="100" w:type="dxa"/>
              <w:bottom w:w="100" w:type="dxa"/>
              <w:right w:w="100" w:type="dxa"/>
            </w:tcMar>
          </w:tcPr>
          <w:p w14:paraId="17DF02B6" w14:textId="77777777" w:rsidR="00D96FA7"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Proporcionar </w:t>
            </w:r>
            <w:r w:rsidRPr="00C40709">
              <w:rPr>
                <w:rFonts w:asciiTheme="majorHAnsi" w:eastAsia="Calibri" w:hAnsiTheme="majorHAnsi" w:cstheme="majorHAnsi"/>
                <w:b/>
                <w:lang w:val="es-ES"/>
              </w:rPr>
              <w:t>informes obligatorios</w:t>
            </w:r>
            <w:r w:rsidRPr="00C40709">
              <w:rPr>
                <w:rFonts w:asciiTheme="majorHAnsi" w:eastAsia="Calibri" w:hAnsiTheme="majorHAnsi" w:cstheme="majorHAnsi"/>
                <w:lang w:val="es-ES"/>
              </w:rPr>
              <w:t xml:space="preserve"> para profesiones particulares que tienen probabilidad de tener </w:t>
            </w:r>
          </w:p>
          <w:p w14:paraId="00000050" w14:textId="6177CC9E" w:rsidR="00241F4E"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contacto con niñas, niños y adolescentes que puedan revelar la explotación sexual.</w:t>
            </w:r>
          </w:p>
        </w:tc>
        <w:tc>
          <w:tcPr>
            <w:tcW w:w="1610" w:type="dxa"/>
            <w:shd w:val="clear" w:color="auto" w:fill="auto"/>
            <w:tcMar>
              <w:top w:w="100" w:type="dxa"/>
              <w:left w:w="100" w:type="dxa"/>
              <w:bottom w:w="100" w:type="dxa"/>
              <w:right w:w="100" w:type="dxa"/>
            </w:tcMar>
          </w:tcPr>
          <w:p w14:paraId="00000051" w14:textId="021A95DB" w:rsidR="00241F4E" w:rsidRPr="00C40709" w:rsidRDefault="00452432">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Sí</w:t>
            </w:r>
          </w:p>
        </w:tc>
        <w:tc>
          <w:tcPr>
            <w:tcW w:w="4450" w:type="dxa"/>
            <w:shd w:val="clear" w:color="auto" w:fill="auto"/>
            <w:tcMar>
              <w:top w:w="100" w:type="dxa"/>
              <w:left w:w="100" w:type="dxa"/>
              <w:bottom w:w="100" w:type="dxa"/>
              <w:right w:w="100" w:type="dxa"/>
            </w:tcMar>
          </w:tcPr>
          <w:p w14:paraId="00000052" w14:textId="77777777" w:rsidR="00241F4E" w:rsidRPr="00C40709" w:rsidRDefault="00892C68" w:rsidP="00C40709">
            <w:pPr>
              <w:widowControl w:val="0"/>
              <w:spacing w:line="240" w:lineRule="auto"/>
              <w:jc w:val="both"/>
              <w:rPr>
                <w:rFonts w:asciiTheme="majorHAnsi" w:eastAsia="Calibri" w:hAnsiTheme="majorHAnsi" w:cstheme="majorHAnsi"/>
                <w:lang w:val="es-ES"/>
              </w:rPr>
            </w:pPr>
            <w:r w:rsidRPr="00C40709">
              <w:rPr>
                <w:rFonts w:asciiTheme="majorHAnsi" w:eastAsia="Calibri" w:hAnsiTheme="majorHAnsi" w:cstheme="majorHAnsi"/>
                <w:lang w:val="es-ES"/>
              </w:rPr>
              <w:t>Artículo 30 del Código de la Niñez y Adolescencia impone a los establecimientos de salud a informar, inmediatamente a las autoridades y organismos competentes los casos de NNA con indicios de maltrato o abuso sexual y, a recoger y conservar los elementos de prueba de maltrato o abuso sexual.</w:t>
            </w:r>
          </w:p>
          <w:p w14:paraId="00000053" w14:textId="77777777" w:rsidR="00241F4E" w:rsidRPr="00C40709" w:rsidRDefault="00241F4E" w:rsidP="00C40709">
            <w:pPr>
              <w:widowControl w:val="0"/>
              <w:spacing w:line="240" w:lineRule="auto"/>
              <w:jc w:val="both"/>
              <w:rPr>
                <w:rFonts w:asciiTheme="majorHAnsi" w:eastAsia="Calibri" w:hAnsiTheme="majorHAnsi" w:cstheme="majorHAnsi"/>
                <w:lang w:val="es-ES"/>
              </w:rPr>
            </w:pPr>
          </w:p>
          <w:p w14:paraId="00000056" w14:textId="74EF9D8F" w:rsidR="00241F4E" w:rsidRPr="00C40709" w:rsidRDefault="00892C68" w:rsidP="00C40709">
            <w:pPr>
              <w:widowControl w:val="0"/>
              <w:spacing w:line="240" w:lineRule="auto"/>
              <w:jc w:val="both"/>
              <w:rPr>
                <w:rFonts w:asciiTheme="majorHAnsi" w:eastAsia="Calibri" w:hAnsiTheme="majorHAnsi" w:cstheme="majorHAnsi"/>
                <w:lang w:val="es-ES"/>
              </w:rPr>
            </w:pPr>
            <w:r w:rsidRPr="00C40709">
              <w:rPr>
                <w:rFonts w:asciiTheme="majorHAnsi" w:eastAsia="Calibri" w:hAnsiTheme="majorHAnsi" w:cstheme="majorHAnsi"/>
                <w:lang w:val="es-ES"/>
              </w:rPr>
              <w:t xml:space="preserve">El artículo 72 </w:t>
            </w:r>
            <w:r w:rsidR="00D938C8" w:rsidRPr="002D4225">
              <w:rPr>
                <w:rFonts w:asciiTheme="majorHAnsi" w:eastAsia="Calibri" w:hAnsiTheme="majorHAnsi" w:cstheme="majorHAnsi"/>
                <w:lang w:val="es-ES"/>
              </w:rPr>
              <w:t xml:space="preserve">del Código de la Niñez y Adolescencia </w:t>
            </w:r>
            <w:r w:rsidRPr="00C40709">
              <w:rPr>
                <w:rFonts w:asciiTheme="majorHAnsi" w:eastAsia="Calibri" w:hAnsiTheme="majorHAnsi" w:cstheme="majorHAnsi"/>
                <w:lang w:val="es-ES"/>
              </w:rPr>
              <w:t>impone una obligación de denuncia de las personas que por su profesión u oficio tengan conocimiento de un hecho que presente características propias de maltrato, abuso y explotación sexual, tráfico o pérdida de que hubiere sido víctima un NNA, deberán denunciarlo dentro de las veinticuatro horas siguientes de dicho conocimiento.</w:t>
            </w:r>
          </w:p>
        </w:tc>
      </w:tr>
      <w:tr w:rsidR="00241F4E" w:rsidRPr="00C40709" w14:paraId="428E847D" w14:textId="77777777" w:rsidTr="00E2483A">
        <w:tc>
          <w:tcPr>
            <w:tcW w:w="585" w:type="dxa"/>
            <w:shd w:val="clear" w:color="auto" w:fill="auto"/>
            <w:tcMar>
              <w:top w:w="100" w:type="dxa"/>
              <w:left w:w="100" w:type="dxa"/>
              <w:bottom w:w="100" w:type="dxa"/>
              <w:right w:w="100" w:type="dxa"/>
            </w:tcMar>
          </w:tcPr>
          <w:p w14:paraId="00000057"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13.</w:t>
            </w:r>
          </w:p>
        </w:tc>
        <w:tc>
          <w:tcPr>
            <w:tcW w:w="3675" w:type="dxa"/>
            <w:shd w:val="clear" w:color="auto" w:fill="auto"/>
            <w:tcMar>
              <w:top w:w="100" w:type="dxa"/>
              <w:left w:w="100" w:type="dxa"/>
              <w:bottom w:w="100" w:type="dxa"/>
              <w:right w:w="100" w:type="dxa"/>
            </w:tcMar>
          </w:tcPr>
          <w:p w14:paraId="0F0605EC" w14:textId="635275F4" w:rsidR="00D96FA7"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Establecer estándares obligatorios de protección infantil regulados por el gobierno para la industria </w:t>
            </w:r>
          </w:p>
          <w:p w14:paraId="751DD638" w14:textId="77777777" w:rsidR="00D96FA7"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del turismo, por ejemplo, atribuir la responsabilidad a una autoridad reguladora apropiada y / o </w:t>
            </w:r>
          </w:p>
          <w:p w14:paraId="14B017FC" w14:textId="77777777" w:rsidR="00D96FA7"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implementar </w:t>
            </w:r>
            <w:r w:rsidRPr="00C40709">
              <w:rPr>
                <w:rFonts w:asciiTheme="majorHAnsi" w:eastAsia="Calibri" w:hAnsiTheme="majorHAnsi" w:cstheme="majorHAnsi"/>
                <w:b/>
                <w:lang w:val="es-ES"/>
              </w:rPr>
              <w:t>códigos nacionales específicos de la industria para la protección infantil</w:t>
            </w:r>
            <w:r w:rsidRPr="00C40709">
              <w:rPr>
                <w:rFonts w:asciiTheme="majorHAnsi" w:eastAsia="Calibri" w:hAnsiTheme="majorHAnsi" w:cstheme="majorHAnsi"/>
                <w:lang w:val="es-ES"/>
              </w:rPr>
              <w:t xml:space="preserve"> como un </w:t>
            </w:r>
          </w:p>
          <w:p w14:paraId="00000058" w14:textId="4294D8EB" w:rsidR="00241F4E"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requisito legal para el funcionamiento de la industria de viajes y turismo.</w:t>
            </w:r>
          </w:p>
        </w:tc>
        <w:tc>
          <w:tcPr>
            <w:tcW w:w="1610" w:type="dxa"/>
            <w:shd w:val="clear" w:color="auto" w:fill="auto"/>
            <w:tcMar>
              <w:top w:w="100" w:type="dxa"/>
              <w:left w:w="100" w:type="dxa"/>
              <w:bottom w:w="100" w:type="dxa"/>
              <w:right w:w="100" w:type="dxa"/>
            </w:tcMar>
          </w:tcPr>
          <w:p w14:paraId="00000059" w14:textId="055236FB" w:rsidR="00241F4E" w:rsidRPr="00C40709" w:rsidRDefault="000D257E">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Sí</w:t>
            </w:r>
          </w:p>
        </w:tc>
        <w:tc>
          <w:tcPr>
            <w:tcW w:w="4450" w:type="dxa"/>
            <w:shd w:val="clear" w:color="auto" w:fill="auto"/>
            <w:tcMar>
              <w:top w:w="100" w:type="dxa"/>
              <w:left w:w="100" w:type="dxa"/>
              <w:bottom w:w="100" w:type="dxa"/>
              <w:right w:w="100" w:type="dxa"/>
            </w:tcMar>
          </w:tcPr>
          <w:p w14:paraId="0000005A" w14:textId="559AFB9E" w:rsidR="00241F4E" w:rsidRDefault="00892C68" w:rsidP="00C40709">
            <w:pPr>
              <w:widowControl w:val="0"/>
              <w:spacing w:line="240" w:lineRule="auto"/>
              <w:jc w:val="both"/>
              <w:rPr>
                <w:rFonts w:asciiTheme="majorHAnsi" w:eastAsia="Calibri" w:hAnsiTheme="majorHAnsi" w:cstheme="majorHAnsi"/>
                <w:lang w:val="es-ES"/>
              </w:rPr>
            </w:pPr>
            <w:r w:rsidRPr="00C40709">
              <w:rPr>
                <w:rFonts w:asciiTheme="majorHAnsi" w:eastAsia="Calibri" w:hAnsiTheme="majorHAnsi" w:cstheme="majorHAnsi"/>
                <w:lang w:val="es-ES"/>
              </w:rPr>
              <w:t>La Ley de Turismo constituye el marco jurídico de la actividad turística en Ecuador y tiene por objeto de regir la promoción, el desarrollo y la regulación del sector turístico, así como las potestades del Estado y las obligaciones y derechos de los prestadores y de los usuarios.</w:t>
            </w:r>
          </w:p>
          <w:p w14:paraId="02CADCF4" w14:textId="77777777" w:rsidR="00CC09BD" w:rsidRDefault="00CC09BD" w:rsidP="00C40709">
            <w:pPr>
              <w:widowControl w:val="0"/>
              <w:spacing w:line="240" w:lineRule="auto"/>
              <w:jc w:val="both"/>
              <w:rPr>
                <w:rFonts w:asciiTheme="majorHAnsi" w:eastAsia="Calibri" w:hAnsiTheme="majorHAnsi" w:cstheme="majorHAnsi"/>
                <w:lang w:val="es-ES"/>
              </w:rPr>
            </w:pPr>
          </w:p>
          <w:p w14:paraId="35B3BFE7" w14:textId="677807A9" w:rsidR="00CC09BD" w:rsidRPr="00C40709" w:rsidRDefault="00CC09BD" w:rsidP="00C40709">
            <w:pPr>
              <w:widowControl w:val="0"/>
              <w:spacing w:line="240" w:lineRule="auto"/>
              <w:jc w:val="both"/>
              <w:rPr>
                <w:rFonts w:asciiTheme="majorHAnsi" w:eastAsia="Calibri" w:hAnsiTheme="majorHAnsi" w:cstheme="majorHAnsi"/>
                <w:lang w:val="es-ES"/>
              </w:rPr>
            </w:pPr>
            <w:r w:rsidRPr="00C40709">
              <w:rPr>
                <w:rFonts w:asciiTheme="majorHAnsi" w:eastAsia="Calibri" w:hAnsiTheme="majorHAnsi" w:cstheme="majorHAnsi"/>
                <w:lang w:val="es-ES"/>
              </w:rPr>
              <w:t>El Ministerio de Turismo es el organismo rector de la actividad turística ecuatoriana y el Consejo Consultivo de Turismo es el organismo asesor de la actividad turística.</w:t>
            </w:r>
          </w:p>
          <w:p w14:paraId="0000005B" w14:textId="77777777" w:rsidR="00241F4E" w:rsidRPr="00C40709" w:rsidRDefault="00241F4E" w:rsidP="00C40709">
            <w:pPr>
              <w:widowControl w:val="0"/>
              <w:spacing w:line="240" w:lineRule="auto"/>
              <w:jc w:val="both"/>
              <w:rPr>
                <w:rFonts w:asciiTheme="majorHAnsi" w:eastAsia="Calibri" w:hAnsiTheme="majorHAnsi" w:cstheme="majorHAnsi"/>
                <w:lang w:val="es-ES"/>
              </w:rPr>
            </w:pPr>
          </w:p>
          <w:p w14:paraId="6165BA00" w14:textId="798B074E" w:rsidR="00CC09BD" w:rsidRPr="00CC09BD" w:rsidRDefault="00892C68" w:rsidP="00CC09BD">
            <w:pPr>
              <w:widowControl w:val="0"/>
              <w:spacing w:line="240" w:lineRule="auto"/>
              <w:jc w:val="both"/>
              <w:rPr>
                <w:rFonts w:asciiTheme="majorHAnsi" w:eastAsia="Calibri" w:hAnsiTheme="majorHAnsi" w:cstheme="majorHAnsi"/>
                <w:lang w:val="es-ES"/>
              </w:rPr>
            </w:pPr>
            <w:r w:rsidRPr="00C40709">
              <w:rPr>
                <w:rFonts w:asciiTheme="majorHAnsi" w:eastAsia="Calibri" w:hAnsiTheme="majorHAnsi" w:cstheme="majorHAnsi"/>
                <w:lang w:val="es-ES"/>
              </w:rPr>
              <w:t>Ecuador implement</w:t>
            </w:r>
            <w:r w:rsidR="00A63651" w:rsidRPr="00C40709">
              <w:rPr>
                <w:rFonts w:asciiTheme="majorHAnsi" w:eastAsia="Calibri" w:hAnsiTheme="majorHAnsi" w:cstheme="majorHAnsi"/>
                <w:lang w:val="es-ES"/>
              </w:rPr>
              <w:t>ó en 2022</w:t>
            </w:r>
            <w:r w:rsidRPr="00C40709">
              <w:rPr>
                <w:rFonts w:asciiTheme="majorHAnsi" w:eastAsia="Calibri" w:hAnsiTheme="majorHAnsi" w:cstheme="majorHAnsi"/>
                <w:lang w:val="es-ES"/>
              </w:rPr>
              <w:t xml:space="preserve"> un código nacional de conducta específico de la industria turí</w:t>
            </w:r>
            <w:r w:rsidR="00CC09BD">
              <w:rPr>
                <w:rFonts w:asciiTheme="majorHAnsi" w:eastAsia="Calibri" w:hAnsiTheme="majorHAnsi" w:cstheme="majorHAnsi"/>
                <w:lang w:val="es-ES"/>
              </w:rPr>
              <w:t>stica para la protección de NNA</w:t>
            </w:r>
            <w:r w:rsidR="00CC09BD" w:rsidRPr="00CC09BD">
              <w:rPr>
                <w:rFonts w:asciiTheme="majorHAnsi" w:eastAsia="Calibri" w:hAnsiTheme="majorHAnsi" w:cstheme="majorHAnsi"/>
                <w:lang w:val="es-ES"/>
              </w:rPr>
              <w:t xml:space="preserve"> y un Protocolo de actuación para</w:t>
            </w:r>
            <w:r w:rsidR="00CC09BD">
              <w:rPr>
                <w:rFonts w:asciiTheme="majorHAnsi" w:eastAsia="Calibri" w:hAnsiTheme="majorHAnsi" w:cstheme="majorHAnsi"/>
                <w:lang w:val="es-ES"/>
              </w:rPr>
              <w:t xml:space="preserve"> </w:t>
            </w:r>
            <w:r w:rsidR="00CC09BD" w:rsidRPr="00CC09BD">
              <w:rPr>
                <w:rFonts w:asciiTheme="majorHAnsi" w:eastAsia="Calibri" w:hAnsiTheme="majorHAnsi" w:cstheme="majorHAnsi"/>
                <w:lang w:val="es-ES"/>
              </w:rPr>
              <w:t>establecimientos pres</w:t>
            </w:r>
            <w:r w:rsidR="00CC09BD">
              <w:rPr>
                <w:rFonts w:asciiTheme="majorHAnsi" w:eastAsia="Calibri" w:hAnsiTheme="majorHAnsi" w:cstheme="majorHAnsi"/>
                <w:lang w:val="es-ES"/>
              </w:rPr>
              <w:t>tadores de servicios turísticos.</w:t>
            </w:r>
            <w:r w:rsidR="00CC09BD" w:rsidRPr="00CC09BD">
              <w:rPr>
                <w:rFonts w:asciiTheme="majorHAnsi" w:eastAsia="Calibri" w:hAnsiTheme="majorHAnsi" w:cstheme="majorHAnsi"/>
                <w:lang w:val="es-ES"/>
              </w:rPr>
              <w:t xml:space="preserve"> Las</w:t>
            </w:r>
            <w:r w:rsidR="00CC09BD" w:rsidRPr="00CC09BD">
              <w:rPr>
                <w:rFonts w:asciiTheme="majorHAnsi" w:eastAsia="Calibri" w:hAnsiTheme="majorHAnsi" w:cstheme="majorHAnsi"/>
                <w:lang w:val="es-ES"/>
              </w:rPr>
              <w:t xml:space="preserve"> </w:t>
            </w:r>
            <w:r w:rsidR="00CC09BD">
              <w:rPr>
                <w:rFonts w:asciiTheme="majorHAnsi" w:eastAsia="Calibri" w:hAnsiTheme="majorHAnsi" w:cstheme="majorHAnsi"/>
                <w:lang w:val="es-ES"/>
              </w:rPr>
              <w:t xml:space="preserve">disposiciones del Código son de </w:t>
            </w:r>
            <w:r w:rsidR="00CC09BD" w:rsidRPr="00CC09BD">
              <w:rPr>
                <w:rFonts w:asciiTheme="majorHAnsi" w:eastAsia="Calibri" w:hAnsiTheme="majorHAnsi" w:cstheme="majorHAnsi"/>
                <w:lang w:val="es-ES"/>
              </w:rPr>
              <w:t>observancia y aplicación obligatoria pa</w:t>
            </w:r>
            <w:r w:rsidR="00CC09BD">
              <w:rPr>
                <w:rFonts w:asciiTheme="majorHAnsi" w:eastAsia="Calibri" w:hAnsiTheme="majorHAnsi" w:cstheme="majorHAnsi"/>
                <w:lang w:val="es-ES"/>
              </w:rPr>
              <w:t>ra todos los establecimientos</w:t>
            </w:r>
            <w:r w:rsidR="00CC09BD" w:rsidRPr="00CC09BD">
              <w:rPr>
                <w:rFonts w:asciiTheme="majorHAnsi" w:eastAsia="Calibri" w:hAnsiTheme="majorHAnsi" w:cstheme="majorHAnsi"/>
                <w:lang w:val="es-ES"/>
              </w:rPr>
              <w:t xml:space="preserve"> y su cumplimiento será</w:t>
            </w:r>
          </w:p>
          <w:p w14:paraId="0000005C" w14:textId="169D7CC7" w:rsidR="00241F4E" w:rsidRPr="00C40709" w:rsidRDefault="00CC09BD" w:rsidP="00CC09BD">
            <w:pPr>
              <w:widowControl w:val="0"/>
              <w:spacing w:line="240" w:lineRule="auto"/>
              <w:jc w:val="both"/>
              <w:rPr>
                <w:rFonts w:asciiTheme="majorHAnsi" w:eastAsia="Calibri" w:hAnsiTheme="majorHAnsi" w:cstheme="majorHAnsi"/>
                <w:lang w:val="es-ES"/>
              </w:rPr>
            </w:pPr>
            <w:r w:rsidRPr="00CC09BD">
              <w:rPr>
                <w:rFonts w:asciiTheme="majorHAnsi" w:eastAsia="Calibri" w:hAnsiTheme="majorHAnsi" w:cstheme="majorHAnsi"/>
                <w:lang w:val="es-ES"/>
              </w:rPr>
              <w:t>controlado por la Autoridad Nacional de Turismo</w:t>
            </w:r>
          </w:p>
          <w:p w14:paraId="0000005D" w14:textId="77777777" w:rsidR="00241F4E" w:rsidRPr="00C40709" w:rsidRDefault="00241F4E" w:rsidP="00C40709">
            <w:pPr>
              <w:widowControl w:val="0"/>
              <w:spacing w:line="240" w:lineRule="auto"/>
              <w:jc w:val="both"/>
              <w:rPr>
                <w:rFonts w:asciiTheme="majorHAnsi" w:eastAsia="Calibri" w:hAnsiTheme="majorHAnsi" w:cstheme="majorHAnsi"/>
                <w:lang w:val="es-ES"/>
              </w:rPr>
            </w:pPr>
          </w:p>
          <w:p w14:paraId="0000005E" w14:textId="23141CA0" w:rsidR="00241F4E" w:rsidRPr="00C40709" w:rsidRDefault="00241F4E" w:rsidP="00C40709">
            <w:pPr>
              <w:widowControl w:val="0"/>
              <w:spacing w:line="240" w:lineRule="auto"/>
              <w:jc w:val="both"/>
              <w:rPr>
                <w:rFonts w:asciiTheme="majorHAnsi" w:eastAsia="Calibri" w:hAnsiTheme="majorHAnsi" w:cstheme="majorHAnsi"/>
                <w:lang w:val="es-ES"/>
              </w:rPr>
            </w:pPr>
          </w:p>
        </w:tc>
      </w:tr>
      <w:tr w:rsidR="00241F4E" w:rsidRPr="00C40709" w14:paraId="707D81C1" w14:textId="77777777" w:rsidTr="00E2483A">
        <w:tc>
          <w:tcPr>
            <w:tcW w:w="585" w:type="dxa"/>
            <w:shd w:val="clear" w:color="auto" w:fill="auto"/>
            <w:tcMar>
              <w:top w:w="100" w:type="dxa"/>
              <w:left w:w="100" w:type="dxa"/>
              <w:bottom w:w="100" w:type="dxa"/>
              <w:right w:w="100" w:type="dxa"/>
            </w:tcMar>
          </w:tcPr>
          <w:p w14:paraId="0000005F"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14.</w:t>
            </w:r>
          </w:p>
        </w:tc>
        <w:tc>
          <w:tcPr>
            <w:tcW w:w="3675" w:type="dxa"/>
            <w:shd w:val="clear" w:color="auto" w:fill="auto"/>
            <w:tcMar>
              <w:top w:w="100" w:type="dxa"/>
              <w:left w:w="100" w:type="dxa"/>
              <w:bottom w:w="100" w:type="dxa"/>
              <w:right w:w="100" w:type="dxa"/>
            </w:tcMar>
          </w:tcPr>
          <w:p w14:paraId="4B908E5A" w14:textId="77777777" w:rsidR="00D96FA7"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Garantizar </w:t>
            </w:r>
            <w:r w:rsidRPr="00C40709">
              <w:rPr>
                <w:rFonts w:asciiTheme="majorHAnsi" w:eastAsia="Calibri" w:hAnsiTheme="majorHAnsi" w:cstheme="majorHAnsi"/>
                <w:b/>
                <w:lang w:val="es-ES"/>
              </w:rPr>
              <w:t>la responsabilidad de las empresas</w:t>
            </w:r>
            <w:r w:rsidRPr="00C40709">
              <w:rPr>
                <w:rFonts w:asciiTheme="majorHAnsi" w:eastAsia="Calibri" w:hAnsiTheme="majorHAnsi" w:cstheme="majorHAnsi"/>
                <w:lang w:val="es-ES"/>
              </w:rPr>
              <w:t xml:space="preserve"> de viajes y turismo (en operaciones y cadenas de </w:t>
            </w:r>
          </w:p>
          <w:p w14:paraId="03B1F382" w14:textId="77777777" w:rsidR="00D96FA7"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suministro) por conductas delictivas, que incluyen:</w:t>
            </w:r>
          </w:p>
          <w:p w14:paraId="5CD777CD" w14:textId="77777777" w:rsidR="00D96FA7"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 Organizar arreglos de viaje o transporte que tengan la intención explícita o implícita de crear o </w:t>
            </w:r>
          </w:p>
          <w:p w14:paraId="511BC871" w14:textId="77777777" w:rsidR="00D96FA7"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lastRenderedPageBreak/>
              <w:t xml:space="preserve">facilitar oportunidades para involucrar (involucrar) a niñas, niños y adolescentes en actividades </w:t>
            </w:r>
          </w:p>
          <w:p w14:paraId="31E57024" w14:textId="77777777" w:rsidR="00D96FA7"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sexuales;</w:t>
            </w:r>
          </w:p>
          <w:p w14:paraId="4A0BEDCB" w14:textId="77777777" w:rsidR="00D96FA7"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Procurar, ayudar o incitar a la conducta sexual de explotación contra un niño/una niña/adolescente;</w:t>
            </w:r>
          </w:p>
          <w:p w14:paraId="46AE60FC" w14:textId="77777777" w:rsidR="00D96FA7"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Hacer publicidad de o promover la explotación sexual de NNA;</w:t>
            </w:r>
          </w:p>
          <w:p w14:paraId="2ACB6E07" w14:textId="77777777" w:rsidR="00D96FA7"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 Beneficiarse, por cualquier medio, de cualquier forma de explotación sexual de un niño/una </w:t>
            </w:r>
          </w:p>
          <w:p w14:paraId="00000060" w14:textId="5948CB26" w:rsidR="00241F4E"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niña/adolescente (o niños/adolescentes) en el contexto de su negocio de viajes y turismo.</w:t>
            </w:r>
          </w:p>
        </w:tc>
        <w:tc>
          <w:tcPr>
            <w:tcW w:w="1610" w:type="dxa"/>
            <w:shd w:val="clear" w:color="auto" w:fill="auto"/>
            <w:tcMar>
              <w:top w:w="100" w:type="dxa"/>
              <w:left w:w="100" w:type="dxa"/>
              <w:bottom w:w="100" w:type="dxa"/>
              <w:right w:w="100" w:type="dxa"/>
            </w:tcMar>
          </w:tcPr>
          <w:p w14:paraId="00000061"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lastRenderedPageBreak/>
              <w:t>Sí</w:t>
            </w:r>
          </w:p>
        </w:tc>
        <w:tc>
          <w:tcPr>
            <w:tcW w:w="4450" w:type="dxa"/>
            <w:shd w:val="clear" w:color="auto" w:fill="auto"/>
            <w:tcMar>
              <w:top w:w="100" w:type="dxa"/>
              <w:left w:w="100" w:type="dxa"/>
              <w:bottom w:w="100" w:type="dxa"/>
              <w:right w:w="100" w:type="dxa"/>
            </w:tcMar>
          </w:tcPr>
          <w:p w14:paraId="00000062" w14:textId="1DC3BB8C" w:rsidR="00241F4E" w:rsidRPr="00C40709" w:rsidRDefault="00892C68" w:rsidP="00C40709">
            <w:pPr>
              <w:widowControl w:val="0"/>
              <w:spacing w:line="240" w:lineRule="auto"/>
              <w:jc w:val="both"/>
              <w:rPr>
                <w:rFonts w:asciiTheme="majorHAnsi" w:eastAsia="Calibri" w:hAnsiTheme="majorHAnsi" w:cstheme="majorHAnsi"/>
                <w:lang w:val="es-ES"/>
              </w:rPr>
            </w:pPr>
            <w:r w:rsidRPr="00C40709">
              <w:rPr>
                <w:rFonts w:asciiTheme="majorHAnsi" w:eastAsia="Calibri" w:hAnsiTheme="majorHAnsi" w:cstheme="majorHAnsi"/>
                <w:lang w:val="es-ES"/>
              </w:rPr>
              <w:t>Los artículos 91-92 del COIP sancionan la trata de personas el turismo sexual de NNA</w:t>
            </w:r>
            <w:r w:rsidR="00A74782">
              <w:rPr>
                <w:rFonts w:asciiTheme="majorHAnsi" w:eastAsia="Calibri" w:hAnsiTheme="majorHAnsi" w:cstheme="majorHAnsi"/>
                <w:lang w:val="es-ES"/>
              </w:rPr>
              <w:t>.</w:t>
            </w:r>
            <w:r w:rsidRPr="00C40709">
              <w:rPr>
                <w:rFonts w:asciiTheme="majorHAnsi" w:eastAsia="Calibri" w:hAnsiTheme="majorHAnsi" w:cstheme="majorHAnsi"/>
                <w:lang w:val="es-ES"/>
              </w:rPr>
              <w:t xml:space="preserve"> </w:t>
            </w:r>
            <w:r w:rsidR="00D05A4E" w:rsidRPr="00C40709">
              <w:rPr>
                <w:rFonts w:asciiTheme="majorHAnsi" w:eastAsia="Calibri" w:hAnsiTheme="majorHAnsi" w:cstheme="majorHAnsi"/>
                <w:lang w:val="es-ES"/>
              </w:rPr>
              <w:t>Además</w:t>
            </w:r>
            <w:r w:rsidRPr="00C40709">
              <w:rPr>
                <w:rFonts w:asciiTheme="majorHAnsi" w:eastAsia="Calibri" w:hAnsiTheme="majorHAnsi" w:cstheme="majorHAnsi"/>
                <w:lang w:val="es-ES"/>
              </w:rPr>
              <w:t>, el artículo 94 del COIP sanciona</w:t>
            </w:r>
            <w:r w:rsidR="00A74782">
              <w:rPr>
                <w:rFonts w:asciiTheme="majorHAnsi" w:eastAsia="Calibri" w:hAnsiTheme="majorHAnsi" w:cstheme="majorHAnsi"/>
                <w:lang w:val="es-ES"/>
              </w:rPr>
              <w:t xml:space="preserve"> a</w:t>
            </w:r>
            <w:r w:rsidRPr="00C40709">
              <w:rPr>
                <w:rFonts w:asciiTheme="majorHAnsi" w:eastAsia="Calibri" w:hAnsiTheme="majorHAnsi" w:cstheme="majorHAnsi"/>
                <w:lang w:val="es-ES"/>
              </w:rPr>
              <w:t xml:space="preserve"> la persona jurídica responsable de trata con multa de cien a mil salarios </w:t>
            </w:r>
            <w:r w:rsidR="00D05A4E" w:rsidRPr="00C40709">
              <w:rPr>
                <w:rFonts w:asciiTheme="majorHAnsi" w:eastAsia="Calibri" w:hAnsiTheme="majorHAnsi" w:cstheme="majorHAnsi"/>
                <w:lang w:val="es-ES"/>
              </w:rPr>
              <w:t>básicos</w:t>
            </w:r>
            <w:r w:rsidRPr="00C40709">
              <w:rPr>
                <w:rFonts w:asciiTheme="majorHAnsi" w:eastAsia="Calibri" w:hAnsiTheme="majorHAnsi" w:cstheme="majorHAnsi"/>
                <w:lang w:val="es-ES"/>
              </w:rPr>
              <w:t xml:space="preserve"> del trabajador en general y la </w:t>
            </w:r>
            <w:r w:rsidR="00A74782" w:rsidRPr="00A74782">
              <w:rPr>
                <w:rFonts w:asciiTheme="majorHAnsi" w:eastAsia="Calibri" w:hAnsiTheme="majorHAnsi" w:cstheme="majorHAnsi"/>
                <w:lang w:val="es-ES"/>
              </w:rPr>
              <w:t>extinción</w:t>
            </w:r>
            <w:r w:rsidRPr="00C40709">
              <w:rPr>
                <w:rFonts w:asciiTheme="majorHAnsi" w:eastAsia="Calibri" w:hAnsiTheme="majorHAnsi" w:cstheme="majorHAnsi"/>
                <w:lang w:val="es-ES"/>
              </w:rPr>
              <w:t xml:space="preserve"> de la misma.</w:t>
            </w:r>
          </w:p>
          <w:p w14:paraId="00000063" w14:textId="77777777" w:rsidR="00241F4E" w:rsidRPr="00C40709" w:rsidRDefault="00241F4E" w:rsidP="00C40709">
            <w:pPr>
              <w:widowControl w:val="0"/>
              <w:spacing w:line="240" w:lineRule="auto"/>
              <w:jc w:val="both"/>
              <w:rPr>
                <w:rFonts w:asciiTheme="majorHAnsi" w:eastAsia="Calibri" w:hAnsiTheme="majorHAnsi" w:cstheme="majorHAnsi"/>
                <w:lang w:val="es-ES"/>
              </w:rPr>
            </w:pPr>
          </w:p>
          <w:p w14:paraId="00000064" w14:textId="4AB48552" w:rsidR="00241F4E" w:rsidRPr="00C40709" w:rsidRDefault="00892C68" w:rsidP="00C40709">
            <w:pPr>
              <w:widowControl w:val="0"/>
              <w:spacing w:line="240" w:lineRule="auto"/>
              <w:jc w:val="both"/>
              <w:rPr>
                <w:rFonts w:asciiTheme="majorHAnsi" w:eastAsia="Calibri" w:hAnsiTheme="majorHAnsi" w:cstheme="majorHAnsi"/>
                <w:lang w:val="es-ES"/>
              </w:rPr>
            </w:pPr>
            <w:r w:rsidRPr="00C40709">
              <w:rPr>
                <w:rFonts w:asciiTheme="majorHAnsi" w:eastAsia="Calibri" w:hAnsiTheme="majorHAnsi" w:cstheme="majorHAnsi"/>
                <w:lang w:val="es-ES"/>
              </w:rPr>
              <w:t xml:space="preserve">El </w:t>
            </w:r>
            <w:r w:rsidR="00D05A4E" w:rsidRPr="00C40709">
              <w:rPr>
                <w:rFonts w:asciiTheme="majorHAnsi" w:eastAsia="Calibri" w:hAnsiTheme="majorHAnsi" w:cstheme="majorHAnsi"/>
                <w:lang w:val="es-ES"/>
              </w:rPr>
              <w:t>artículo</w:t>
            </w:r>
            <w:r w:rsidRPr="00C40709">
              <w:rPr>
                <w:rFonts w:asciiTheme="majorHAnsi" w:eastAsia="Calibri" w:hAnsiTheme="majorHAnsi" w:cstheme="majorHAnsi"/>
                <w:lang w:val="es-ES"/>
              </w:rPr>
              <w:t xml:space="preserve"> 102 del COIP sanciona a quien </w:t>
            </w:r>
            <w:r w:rsidRPr="00C40709">
              <w:rPr>
                <w:rFonts w:asciiTheme="majorHAnsi" w:eastAsia="Calibri" w:hAnsiTheme="majorHAnsi" w:cstheme="majorHAnsi"/>
                <w:lang w:val="es-ES"/>
              </w:rPr>
              <w:lastRenderedPageBreak/>
              <w:t xml:space="preserve">organice, promueva, ofrezca, brinde, traslade, reclute, adquiera o contrate actividades </w:t>
            </w:r>
            <w:r w:rsidR="00D05A4E" w:rsidRPr="00C40709">
              <w:rPr>
                <w:rFonts w:asciiTheme="majorHAnsi" w:eastAsia="Calibri" w:hAnsiTheme="majorHAnsi" w:cstheme="majorHAnsi"/>
                <w:lang w:val="es-ES"/>
              </w:rPr>
              <w:t>turísticas</w:t>
            </w:r>
            <w:r w:rsidRPr="00C40709">
              <w:rPr>
                <w:rFonts w:asciiTheme="majorHAnsi" w:eastAsia="Calibri" w:hAnsiTheme="majorHAnsi" w:cstheme="majorHAnsi"/>
                <w:lang w:val="es-ES"/>
              </w:rPr>
              <w:t xml:space="preserve"> que impliquen servicios de naturaleza sexual, será sancionada con pena privativa de libertad de diez a trece </w:t>
            </w:r>
            <w:r w:rsidR="00A74782" w:rsidRPr="00A74782">
              <w:rPr>
                <w:rFonts w:asciiTheme="majorHAnsi" w:eastAsia="Calibri" w:hAnsiTheme="majorHAnsi" w:cstheme="majorHAnsi"/>
                <w:lang w:val="es-ES"/>
              </w:rPr>
              <w:t>años</w:t>
            </w:r>
            <w:r w:rsidRPr="00C40709">
              <w:rPr>
                <w:rFonts w:asciiTheme="majorHAnsi" w:eastAsia="Calibri" w:hAnsiTheme="majorHAnsi" w:cstheme="majorHAnsi"/>
                <w:lang w:val="es-ES"/>
              </w:rPr>
              <w:t xml:space="preserve"> cuando la víctima sea NNA.</w:t>
            </w:r>
          </w:p>
          <w:p w14:paraId="00000065" w14:textId="5B0C18B1" w:rsidR="00241F4E" w:rsidRPr="00C40709" w:rsidRDefault="00892C68" w:rsidP="00C40709">
            <w:pPr>
              <w:widowControl w:val="0"/>
              <w:spacing w:line="240" w:lineRule="auto"/>
              <w:jc w:val="both"/>
              <w:rPr>
                <w:rFonts w:asciiTheme="majorHAnsi" w:eastAsia="Calibri" w:hAnsiTheme="majorHAnsi" w:cstheme="majorHAnsi"/>
                <w:lang w:val="es-ES"/>
              </w:rPr>
            </w:pPr>
            <w:r w:rsidRPr="00C40709">
              <w:rPr>
                <w:rFonts w:asciiTheme="majorHAnsi" w:eastAsia="Calibri" w:hAnsiTheme="majorHAnsi" w:cstheme="majorHAnsi"/>
                <w:lang w:val="es-ES"/>
              </w:rPr>
              <w:t xml:space="preserve">Además, el artículo 109 sanciona a la persona jurídica con la </w:t>
            </w:r>
            <w:r w:rsidR="00A74782" w:rsidRPr="00A74782">
              <w:rPr>
                <w:rFonts w:asciiTheme="majorHAnsi" w:eastAsia="Calibri" w:hAnsiTheme="majorHAnsi" w:cstheme="majorHAnsi"/>
                <w:lang w:val="es-ES"/>
              </w:rPr>
              <w:t>extinción</w:t>
            </w:r>
            <w:r w:rsidRPr="00C40709">
              <w:rPr>
                <w:rFonts w:asciiTheme="majorHAnsi" w:eastAsia="Calibri" w:hAnsiTheme="majorHAnsi" w:cstheme="majorHAnsi"/>
                <w:lang w:val="es-ES"/>
              </w:rPr>
              <w:t xml:space="preserve"> y multa de diez a mil salarios </w:t>
            </w:r>
            <w:r w:rsidR="00A74782" w:rsidRPr="00A74782">
              <w:rPr>
                <w:rFonts w:asciiTheme="majorHAnsi" w:eastAsia="Calibri" w:hAnsiTheme="majorHAnsi" w:cstheme="majorHAnsi"/>
                <w:lang w:val="es-ES"/>
              </w:rPr>
              <w:t>básicos</w:t>
            </w:r>
            <w:r w:rsidRPr="00C40709">
              <w:rPr>
                <w:rFonts w:asciiTheme="majorHAnsi" w:eastAsia="Calibri" w:hAnsiTheme="majorHAnsi" w:cstheme="majorHAnsi"/>
                <w:lang w:val="es-ES"/>
              </w:rPr>
              <w:t xml:space="preserve"> del trabajador en general.</w:t>
            </w:r>
          </w:p>
          <w:p w14:paraId="00000066" w14:textId="77777777" w:rsidR="00241F4E" w:rsidRPr="00C40709" w:rsidRDefault="00241F4E" w:rsidP="00C40709">
            <w:pPr>
              <w:widowControl w:val="0"/>
              <w:spacing w:line="240" w:lineRule="auto"/>
              <w:jc w:val="both"/>
              <w:rPr>
                <w:rFonts w:asciiTheme="majorHAnsi" w:eastAsia="Calibri" w:hAnsiTheme="majorHAnsi" w:cstheme="majorHAnsi"/>
                <w:lang w:val="es-ES"/>
              </w:rPr>
            </w:pPr>
          </w:p>
          <w:p w14:paraId="00000067" w14:textId="77777777" w:rsidR="00241F4E" w:rsidRPr="00C40709" w:rsidRDefault="00892C68" w:rsidP="00C40709">
            <w:pPr>
              <w:widowControl w:val="0"/>
              <w:spacing w:line="240" w:lineRule="auto"/>
              <w:jc w:val="both"/>
              <w:rPr>
                <w:rFonts w:asciiTheme="majorHAnsi" w:eastAsia="Calibri" w:hAnsiTheme="majorHAnsi" w:cstheme="majorHAnsi"/>
                <w:lang w:val="es-ES"/>
              </w:rPr>
            </w:pPr>
            <w:r w:rsidRPr="00C40709">
              <w:rPr>
                <w:rFonts w:asciiTheme="majorHAnsi" w:eastAsia="Calibri" w:hAnsiTheme="majorHAnsi" w:cstheme="majorHAnsi"/>
                <w:lang w:val="es-ES"/>
              </w:rPr>
              <w:t>El artículo 48 del COIP define como circunstancia agravante en las infracciones contra la integridad sexual y reproductiva, la integridad y la libertad personal, cuando encontrase la víctima al momento de la comisión de la infracción en establecimientos de turismo, distracción o esparcimiento y medios de transporte.</w:t>
            </w:r>
          </w:p>
        </w:tc>
      </w:tr>
      <w:tr w:rsidR="00241F4E" w:rsidRPr="00C40709" w14:paraId="19E7BADB" w14:textId="77777777" w:rsidTr="00E2483A">
        <w:tc>
          <w:tcPr>
            <w:tcW w:w="585" w:type="dxa"/>
            <w:shd w:val="clear" w:color="auto" w:fill="auto"/>
            <w:tcMar>
              <w:top w:w="100" w:type="dxa"/>
              <w:left w:w="100" w:type="dxa"/>
              <w:bottom w:w="100" w:type="dxa"/>
              <w:right w:w="100" w:type="dxa"/>
            </w:tcMar>
          </w:tcPr>
          <w:p w14:paraId="00000068"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lastRenderedPageBreak/>
              <w:t>15.</w:t>
            </w:r>
          </w:p>
        </w:tc>
        <w:tc>
          <w:tcPr>
            <w:tcW w:w="3675" w:type="dxa"/>
            <w:shd w:val="clear" w:color="auto" w:fill="auto"/>
            <w:tcMar>
              <w:top w:w="100" w:type="dxa"/>
              <w:left w:w="100" w:type="dxa"/>
              <w:bottom w:w="100" w:type="dxa"/>
              <w:right w:w="100" w:type="dxa"/>
            </w:tcMar>
          </w:tcPr>
          <w:p w14:paraId="30CA9E77" w14:textId="77777777" w:rsidR="00D96FA7"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b/>
                <w:lang w:val="es-ES"/>
              </w:rPr>
              <w:t>Penalizar el grooming de niñas, niños y adolescentes con fines sexuales</w:t>
            </w:r>
            <w:r w:rsidRPr="00C40709">
              <w:rPr>
                <w:rFonts w:asciiTheme="majorHAnsi" w:eastAsia="Calibri" w:hAnsiTheme="majorHAnsi" w:cstheme="majorHAnsi"/>
                <w:lang w:val="es-ES"/>
              </w:rPr>
              <w:t xml:space="preserve"> (a menudo denominado </w:t>
            </w:r>
          </w:p>
          <w:p w14:paraId="682E0E40" w14:textId="77777777" w:rsidR="00D96FA7"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“solicitación” según la ley) incluso a través de Internet y otras tecnologías de la comunicación para </w:t>
            </w:r>
          </w:p>
          <w:p w14:paraId="00000069" w14:textId="49E590FB" w:rsidR="00241F4E"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facilitar la explotación sexual en línea o fuera de línea.</w:t>
            </w:r>
          </w:p>
        </w:tc>
        <w:tc>
          <w:tcPr>
            <w:tcW w:w="1610" w:type="dxa"/>
            <w:shd w:val="clear" w:color="auto" w:fill="auto"/>
            <w:tcMar>
              <w:top w:w="100" w:type="dxa"/>
              <w:left w:w="100" w:type="dxa"/>
              <w:bottom w:w="100" w:type="dxa"/>
              <w:right w:w="100" w:type="dxa"/>
            </w:tcMar>
          </w:tcPr>
          <w:p w14:paraId="0000006A" w14:textId="54044F24" w:rsidR="00241F4E" w:rsidRPr="00C40709" w:rsidRDefault="00452432">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Parcialmente</w:t>
            </w:r>
          </w:p>
        </w:tc>
        <w:tc>
          <w:tcPr>
            <w:tcW w:w="4450" w:type="dxa"/>
            <w:shd w:val="clear" w:color="auto" w:fill="auto"/>
            <w:tcMar>
              <w:top w:w="100" w:type="dxa"/>
              <w:left w:w="100" w:type="dxa"/>
              <w:bottom w:w="100" w:type="dxa"/>
              <w:right w:w="100" w:type="dxa"/>
            </w:tcMar>
          </w:tcPr>
          <w:p w14:paraId="0000006B" w14:textId="21F998B6" w:rsidR="00241F4E" w:rsidRPr="00C40709" w:rsidRDefault="00892C68" w:rsidP="00452432">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El COIP en su artículo 173 tipifica el contacto con finalidad sexual con menores de dieciocho años por medios electrónicos con una pen</w:t>
            </w:r>
            <w:r w:rsidR="00452432" w:rsidRPr="00C40709">
              <w:rPr>
                <w:rFonts w:asciiTheme="majorHAnsi" w:eastAsia="Calibri" w:hAnsiTheme="majorHAnsi" w:cstheme="majorHAnsi"/>
                <w:lang w:val="es-ES"/>
              </w:rPr>
              <w:t>a de uno a tres años de prisión, siempre que tal propuesta se acompañe</w:t>
            </w:r>
            <w:r w:rsidR="00D05A4E" w:rsidRPr="00C40709">
              <w:rPr>
                <w:rFonts w:asciiTheme="majorHAnsi" w:eastAsia="Calibri" w:hAnsiTheme="majorHAnsi" w:cstheme="majorHAnsi"/>
                <w:lang w:val="es-ES"/>
              </w:rPr>
              <w:t xml:space="preserve"> </w:t>
            </w:r>
            <w:r w:rsidR="00452432" w:rsidRPr="00C40709">
              <w:rPr>
                <w:rFonts w:asciiTheme="majorHAnsi" w:eastAsia="Calibri" w:hAnsiTheme="majorHAnsi" w:cstheme="majorHAnsi"/>
                <w:lang w:val="es-ES"/>
              </w:rPr>
              <w:t>de actos materiales encaminados al acercamiento con</w:t>
            </w:r>
            <w:r w:rsidR="00D05A4E" w:rsidRPr="00C40709">
              <w:rPr>
                <w:rFonts w:asciiTheme="majorHAnsi" w:eastAsia="Calibri" w:hAnsiTheme="majorHAnsi" w:cstheme="majorHAnsi"/>
                <w:lang w:val="es-ES"/>
              </w:rPr>
              <w:t xml:space="preserve"> </w:t>
            </w:r>
            <w:r w:rsidR="00452432" w:rsidRPr="00C40709">
              <w:rPr>
                <w:rFonts w:asciiTheme="majorHAnsi" w:eastAsia="Calibri" w:hAnsiTheme="majorHAnsi" w:cstheme="majorHAnsi"/>
                <w:lang w:val="es-ES"/>
              </w:rPr>
              <w:t xml:space="preserve">finalidad sexual o erótica, </w:t>
            </w:r>
            <w:r w:rsidRPr="00C40709">
              <w:rPr>
                <w:rFonts w:asciiTheme="majorHAnsi" w:eastAsia="Calibri" w:hAnsiTheme="majorHAnsi" w:cstheme="majorHAnsi"/>
                <w:lang w:val="es-ES"/>
              </w:rPr>
              <w:t xml:space="preserve"> </w:t>
            </w:r>
          </w:p>
        </w:tc>
      </w:tr>
      <w:tr w:rsidR="00FC2D22" w:rsidRPr="00C40709" w14:paraId="350EB72C" w14:textId="77777777" w:rsidTr="00E2483A">
        <w:tc>
          <w:tcPr>
            <w:tcW w:w="585" w:type="dxa"/>
            <w:shd w:val="clear" w:color="auto" w:fill="auto"/>
            <w:tcMar>
              <w:top w:w="100" w:type="dxa"/>
              <w:left w:w="100" w:type="dxa"/>
              <w:bottom w:w="100" w:type="dxa"/>
              <w:right w:w="100" w:type="dxa"/>
            </w:tcMar>
          </w:tcPr>
          <w:p w14:paraId="2F40E538" w14:textId="0D6D79F6" w:rsidR="00FC2D22" w:rsidRPr="00C40709" w:rsidRDefault="00FC2D22">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16.</w:t>
            </w:r>
          </w:p>
        </w:tc>
        <w:tc>
          <w:tcPr>
            <w:tcW w:w="3675" w:type="dxa"/>
            <w:shd w:val="clear" w:color="auto" w:fill="auto"/>
            <w:tcMar>
              <w:top w:w="100" w:type="dxa"/>
              <w:left w:w="100" w:type="dxa"/>
              <w:bottom w:w="100" w:type="dxa"/>
              <w:right w:w="100" w:type="dxa"/>
            </w:tcMar>
          </w:tcPr>
          <w:p w14:paraId="4E2D25B4" w14:textId="773A5079" w:rsidR="00D96FA7"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Establecer una legislación que requiera </w:t>
            </w:r>
            <w:r w:rsidRPr="00C40709">
              <w:rPr>
                <w:rFonts w:asciiTheme="majorHAnsi" w:eastAsia="Calibri" w:hAnsiTheme="majorHAnsi" w:cstheme="majorHAnsi"/>
                <w:b/>
                <w:lang w:val="es-ES"/>
              </w:rPr>
              <w:t>una verificación de antecedentes penales</w:t>
            </w:r>
            <w:r w:rsidRPr="00C40709">
              <w:rPr>
                <w:rFonts w:asciiTheme="majorHAnsi" w:eastAsia="Calibri" w:hAnsiTheme="majorHAnsi" w:cstheme="majorHAnsi"/>
                <w:lang w:val="es-ES"/>
              </w:rPr>
              <w:t xml:space="preserve"> para cada persona (nacional o no nacional) que solicite trabajo con o para niñas, niños y adolescentes (NNA), o que </w:t>
            </w:r>
          </w:p>
          <w:p w14:paraId="350C4CFF" w14:textId="77777777" w:rsidR="00D96FA7"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esté trabajando actualmente con o para NNA. Introducir legislación que prohíba a los delincuentes </w:t>
            </w:r>
          </w:p>
          <w:p w14:paraId="67A671F4" w14:textId="33F2ADFA" w:rsidR="00FC2D22"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sexuales condenados ocupar cargos que impliquen o faciliten el contacto con niñas/niños/adolescentes.</w:t>
            </w:r>
          </w:p>
        </w:tc>
        <w:tc>
          <w:tcPr>
            <w:tcW w:w="1610" w:type="dxa"/>
            <w:shd w:val="clear" w:color="auto" w:fill="auto"/>
            <w:tcMar>
              <w:top w:w="100" w:type="dxa"/>
              <w:left w:w="100" w:type="dxa"/>
              <w:bottom w:w="100" w:type="dxa"/>
              <w:right w:w="100" w:type="dxa"/>
            </w:tcMar>
          </w:tcPr>
          <w:p w14:paraId="776E8AF5" w14:textId="7F643BA1" w:rsidR="00FC2D22" w:rsidRPr="00C40709" w:rsidRDefault="00FC2D22">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No</w:t>
            </w:r>
          </w:p>
        </w:tc>
        <w:tc>
          <w:tcPr>
            <w:tcW w:w="4450" w:type="dxa"/>
            <w:shd w:val="clear" w:color="auto" w:fill="auto"/>
            <w:tcMar>
              <w:top w:w="100" w:type="dxa"/>
              <w:left w:w="100" w:type="dxa"/>
              <w:bottom w:w="100" w:type="dxa"/>
              <w:right w:w="100" w:type="dxa"/>
            </w:tcMar>
          </w:tcPr>
          <w:p w14:paraId="710E6E43" w14:textId="77777777" w:rsidR="00FC2D22" w:rsidRPr="00C40709" w:rsidRDefault="00FC2D22" w:rsidP="00FC2D22">
            <w:pPr>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El Decreto Ejecutivo 1166 sobre el certificado de antecedentes penales prohíbe tanto para el sector público como privado, exigir como requisito a ningún ciudadano o ciudadana que aspire a un empleo la presentación del certificado de antecedentes penales.</w:t>
            </w:r>
          </w:p>
          <w:p w14:paraId="40ABD855" w14:textId="77777777" w:rsidR="004C5F43" w:rsidRPr="00C40709" w:rsidRDefault="004C5F43" w:rsidP="00FC2D22">
            <w:pPr>
              <w:spacing w:line="240" w:lineRule="auto"/>
              <w:rPr>
                <w:rFonts w:asciiTheme="majorHAnsi" w:eastAsia="Calibri" w:hAnsiTheme="majorHAnsi" w:cstheme="majorHAnsi"/>
                <w:lang w:val="es-ES"/>
              </w:rPr>
            </w:pPr>
          </w:p>
          <w:p w14:paraId="66D5D9BB" w14:textId="5D8A9FC7" w:rsidR="00FC2D22" w:rsidRPr="00C40709" w:rsidRDefault="004C5F43" w:rsidP="00FC2D22">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eastAsia="es-ES"/>
              </w:rPr>
              <w:t>También es destacable la inhabilitación obligatoria para el ejercicio de su profesión de profesionales que cometen delitos de explotación sexual de NNA en el ejercicio de su profesión si dicha profesión implica contacto directo con NNA.</w:t>
            </w:r>
            <w:r w:rsidRPr="00C40709">
              <w:rPr>
                <w:rStyle w:val="FootnoteReference"/>
                <w:rFonts w:asciiTheme="majorHAnsi" w:eastAsia="Calibri" w:hAnsiTheme="majorHAnsi" w:cstheme="majorHAnsi"/>
                <w:lang w:val="es-ES" w:eastAsia="es-ES"/>
              </w:rPr>
              <w:footnoteReference w:id="8"/>
            </w:r>
            <w:r w:rsidRPr="00C40709">
              <w:rPr>
                <w:rFonts w:asciiTheme="majorHAnsi" w:eastAsia="Calibri" w:hAnsiTheme="majorHAnsi" w:cstheme="majorHAnsi"/>
                <w:lang w:val="es-ES" w:eastAsia="es-ES"/>
              </w:rPr>
              <w:t xml:space="preserve"> </w:t>
            </w:r>
          </w:p>
        </w:tc>
      </w:tr>
      <w:tr w:rsidR="00241F4E" w:rsidRPr="006701B8" w14:paraId="69F83335" w14:textId="77777777" w:rsidTr="00E2483A">
        <w:tc>
          <w:tcPr>
            <w:tcW w:w="585" w:type="dxa"/>
            <w:shd w:val="clear" w:color="auto" w:fill="auto"/>
            <w:tcMar>
              <w:top w:w="100" w:type="dxa"/>
              <w:left w:w="100" w:type="dxa"/>
              <w:bottom w:w="100" w:type="dxa"/>
              <w:right w:w="100" w:type="dxa"/>
            </w:tcMar>
          </w:tcPr>
          <w:p w14:paraId="0000006C" w14:textId="62999486" w:rsidR="00241F4E" w:rsidRPr="00C40709" w:rsidRDefault="00FC2D22">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17</w:t>
            </w:r>
            <w:r w:rsidR="00892C68" w:rsidRPr="00C40709">
              <w:rPr>
                <w:rFonts w:asciiTheme="majorHAnsi" w:eastAsia="Calibri" w:hAnsiTheme="majorHAnsi" w:cstheme="majorHAnsi"/>
                <w:lang w:val="es-ES"/>
              </w:rPr>
              <w:t>.</w:t>
            </w:r>
          </w:p>
        </w:tc>
        <w:tc>
          <w:tcPr>
            <w:tcW w:w="3675" w:type="dxa"/>
            <w:shd w:val="clear" w:color="auto" w:fill="auto"/>
            <w:tcMar>
              <w:top w:w="100" w:type="dxa"/>
              <w:left w:w="100" w:type="dxa"/>
              <w:bottom w:w="100" w:type="dxa"/>
              <w:right w:w="100" w:type="dxa"/>
            </w:tcMar>
          </w:tcPr>
          <w:p w14:paraId="22CE709E" w14:textId="031E7D6B" w:rsidR="00D96FA7"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b/>
                <w:lang w:val="es-ES"/>
              </w:rPr>
              <w:t>Regular y supervisar el uso de voluntarios</w:t>
            </w:r>
            <w:r w:rsidRPr="00C40709">
              <w:rPr>
                <w:rFonts w:asciiTheme="majorHAnsi" w:eastAsia="Calibri" w:hAnsiTheme="majorHAnsi" w:cstheme="majorHAnsi"/>
                <w:lang w:val="es-ES"/>
              </w:rPr>
              <w:t xml:space="preserve"> (incluido el “volunturismo”) en entornos y actividades que impliquen contacto directo con niñas, niños y adolescentes, en particular prohibiendo las visitas </w:t>
            </w:r>
          </w:p>
          <w:p w14:paraId="64C32793" w14:textId="77777777" w:rsidR="00D96FA7"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lastRenderedPageBreak/>
              <w:t xml:space="preserve">a orfanatos / entornos de atención residencial a favor de reorientar la industria hacia soluciones </w:t>
            </w:r>
          </w:p>
          <w:p w14:paraId="0000006D" w14:textId="2DD22BDD" w:rsidR="00241F4E"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que apoyen la atención basada en la comunidad.</w:t>
            </w:r>
          </w:p>
        </w:tc>
        <w:tc>
          <w:tcPr>
            <w:tcW w:w="1610" w:type="dxa"/>
            <w:shd w:val="clear" w:color="auto" w:fill="auto"/>
            <w:tcMar>
              <w:top w:w="100" w:type="dxa"/>
              <w:left w:w="100" w:type="dxa"/>
              <w:bottom w:w="100" w:type="dxa"/>
              <w:right w:w="100" w:type="dxa"/>
            </w:tcMar>
          </w:tcPr>
          <w:p w14:paraId="0000006E"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lastRenderedPageBreak/>
              <w:t>No</w:t>
            </w:r>
          </w:p>
        </w:tc>
        <w:tc>
          <w:tcPr>
            <w:tcW w:w="4450" w:type="dxa"/>
            <w:shd w:val="clear" w:color="auto" w:fill="auto"/>
            <w:tcMar>
              <w:top w:w="100" w:type="dxa"/>
              <w:left w:w="100" w:type="dxa"/>
              <w:bottom w:w="100" w:type="dxa"/>
              <w:right w:w="100" w:type="dxa"/>
            </w:tcMar>
          </w:tcPr>
          <w:p w14:paraId="0000006F" w14:textId="6F085A67" w:rsidR="00241F4E" w:rsidRPr="00C40709" w:rsidRDefault="00241F4E">
            <w:pPr>
              <w:widowControl w:val="0"/>
              <w:spacing w:line="240" w:lineRule="auto"/>
              <w:rPr>
                <w:rFonts w:asciiTheme="majorHAnsi" w:eastAsia="Calibri" w:hAnsiTheme="majorHAnsi" w:cstheme="majorHAnsi"/>
                <w:lang w:val="es-ES"/>
              </w:rPr>
            </w:pPr>
          </w:p>
        </w:tc>
      </w:tr>
      <w:tr w:rsidR="00241F4E" w:rsidRPr="00C40709" w14:paraId="71D15550" w14:textId="77777777" w:rsidTr="00E2483A">
        <w:tc>
          <w:tcPr>
            <w:tcW w:w="585" w:type="dxa"/>
            <w:shd w:val="clear" w:color="auto" w:fill="auto"/>
            <w:tcMar>
              <w:top w:w="100" w:type="dxa"/>
              <w:left w:w="100" w:type="dxa"/>
              <w:bottom w:w="100" w:type="dxa"/>
              <w:right w:w="100" w:type="dxa"/>
            </w:tcMar>
          </w:tcPr>
          <w:p w14:paraId="00000070" w14:textId="2A642276" w:rsidR="00241F4E" w:rsidRPr="00C40709" w:rsidRDefault="00FC2D22">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lastRenderedPageBreak/>
              <w:t>18</w:t>
            </w:r>
            <w:r w:rsidR="00892C68" w:rsidRPr="00C40709">
              <w:rPr>
                <w:rFonts w:asciiTheme="majorHAnsi" w:eastAsia="Calibri" w:hAnsiTheme="majorHAnsi" w:cstheme="majorHAnsi"/>
                <w:lang w:val="es-ES"/>
              </w:rPr>
              <w:t>.</w:t>
            </w:r>
          </w:p>
        </w:tc>
        <w:tc>
          <w:tcPr>
            <w:tcW w:w="3675" w:type="dxa"/>
            <w:shd w:val="clear" w:color="auto" w:fill="auto"/>
            <w:tcMar>
              <w:top w:w="100" w:type="dxa"/>
              <w:left w:w="100" w:type="dxa"/>
              <w:bottom w:w="100" w:type="dxa"/>
              <w:right w:w="100" w:type="dxa"/>
            </w:tcMar>
          </w:tcPr>
          <w:p w14:paraId="48134BBA" w14:textId="77777777" w:rsidR="00D96FA7"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Ratificar y aplicar </w:t>
            </w:r>
            <w:r w:rsidRPr="00C40709">
              <w:rPr>
                <w:rFonts w:asciiTheme="majorHAnsi" w:eastAsia="Calibri" w:hAnsiTheme="majorHAnsi" w:cstheme="majorHAnsi"/>
                <w:b/>
                <w:lang w:val="es-ES"/>
              </w:rPr>
              <w:t>los instrumentos regionales e internacionales</w:t>
            </w:r>
            <w:r w:rsidRPr="00C40709">
              <w:rPr>
                <w:rFonts w:asciiTheme="majorHAnsi" w:eastAsia="Calibri" w:hAnsiTheme="majorHAnsi" w:cstheme="majorHAnsi"/>
                <w:lang w:val="es-ES"/>
              </w:rPr>
              <w:t xml:space="preserve"> pertinentes relacionados con los </w:t>
            </w:r>
          </w:p>
          <w:p w14:paraId="00000071" w14:textId="274D0BE4" w:rsidR="00241F4E"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derechos del niño y la explotación sexual de niñas, niños y adolescentes.</w:t>
            </w:r>
          </w:p>
        </w:tc>
        <w:tc>
          <w:tcPr>
            <w:tcW w:w="1610" w:type="dxa"/>
            <w:shd w:val="clear" w:color="auto" w:fill="auto"/>
            <w:tcMar>
              <w:top w:w="100" w:type="dxa"/>
              <w:left w:w="100" w:type="dxa"/>
              <w:bottom w:w="100" w:type="dxa"/>
              <w:right w:w="100" w:type="dxa"/>
            </w:tcMar>
          </w:tcPr>
          <w:p w14:paraId="00000072" w14:textId="05602292" w:rsidR="00241F4E" w:rsidRPr="00C40709" w:rsidRDefault="000D257E">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Sí</w:t>
            </w:r>
            <w:r w:rsidR="00A74782">
              <w:rPr>
                <w:rFonts w:asciiTheme="majorHAnsi" w:eastAsia="Calibri" w:hAnsiTheme="majorHAnsi" w:cstheme="majorHAnsi"/>
                <w:lang w:val="es-ES"/>
              </w:rPr>
              <w:t>*</w:t>
            </w:r>
          </w:p>
        </w:tc>
        <w:tc>
          <w:tcPr>
            <w:tcW w:w="4450" w:type="dxa"/>
            <w:shd w:val="clear" w:color="auto" w:fill="auto"/>
            <w:tcMar>
              <w:top w:w="100" w:type="dxa"/>
              <w:left w:w="100" w:type="dxa"/>
              <w:bottom w:w="100" w:type="dxa"/>
              <w:right w:w="100" w:type="dxa"/>
            </w:tcMar>
          </w:tcPr>
          <w:p w14:paraId="00000073" w14:textId="77777777" w:rsidR="00241F4E" w:rsidRPr="00C40709" w:rsidRDefault="00892C68" w:rsidP="00B633FA">
            <w:pPr>
              <w:widowControl w:val="0"/>
              <w:numPr>
                <w:ilvl w:val="0"/>
                <w:numId w:val="1"/>
              </w:numPr>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Convención sobre los Derechos del Niño (CDN) - Ratificado en 1990</w:t>
            </w:r>
          </w:p>
          <w:p w14:paraId="00000074" w14:textId="77777777" w:rsidR="00241F4E" w:rsidRPr="00C40709" w:rsidRDefault="00892C68" w:rsidP="00B633FA">
            <w:pPr>
              <w:widowControl w:val="0"/>
              <w:numPr>
                <w:ilvl w:val="0"/>
                <w:numId w:val="1"/>
              </w:numPr>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Protocolo facultativo de la Convención sobre los Derechos del Niño relativo a la venta de niños, la prostitución infantil y la utilización de niños en la pornografía - Ratificado en 2004</w:t>
            </w:r>
          </w:p>
          <w:p w14:paraId="00000075" w14:textId="77777777" w:rsidR="00241F4E" w:rsidRPr="00C40709" w:rsidRDefault="00892C68" w:rsidP="00B633FA">
            <w:pPr>
              <w:widowControl w:val="0"/>
              <w:numPr>
                <w:ilvl w:val="0"/>
                <w:numId w:val="1"/>
              </w:numPr>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 Protocolo facultativo de la Convención sobre los Derechos del Niño relativo a un procedimiento de comunicaciones (OP3 CDN) - Ratificado en 2018</w:t>
            </w:r>
          </w:p>
          <w:p w14:paraId="00000076" w14:textId="77777777" w:rsidR="00241F4E" w:rsidRPr="00C40709" w:rsidRDefault="00892C68" w:rsidP="00B633FA">
            <w:pPr>
              <w:widowControl w:val="0"/>
              <w:numPr>
                <w:ilvl w:val="0"/>
                <w:numId w:val="1"/>
              </w:numPr>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Protocolo de las Naciones Unidas para prevenir, reprimir y sancionar la trata de personas, en especial de mujeres y niños - Ratificado en 2002</w:t>
            </w:r>
          </w:p>
          <w:p w14:paraId="00000077" w14:textId="18620225" w:rsidR="00241F4E" w:rsidRPr="00C40709" w:rsidRDefault="00892C68" w:rsidP="00B633FA">
            <w:pPr>
              <w:widowControl w:val="0"/>
              <w:numPr>
                <w:ilvl w:val="0"/>
                <w:numId w:val="1"/>
              </w:numPr>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Convenio No 182 de la OIT sobre la prohibición de las peores formas de trabajo infantil y la acción inmediata para su eliminación - Ratificado en 2000</w:t>
            </w:r>
          </w:p>
          <w:p w14:paraId="02F90E0D" w14:textId="279CBC93" w:rsidR="00452432" w:rsidRPr="00C40709" w:rsidRDefault="00452432" w:rsidP="00B633FA">
            <w:pPr>
              <w:widowControl w:val="0"/>
              <w:numPr>
                <w:ilvl w:val="0"/>
                <w:numId w:val="1"/>
              </w:numPr>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Convención Marco de la OMT sobre Ética del Turismo - </w:t>
            </w:r>
            <w:r w:rsidRPr="00C40709">
              <w:rPr>
                <w:rFonts w:asciiTheme="majorHAnsi" w:eastAsia="Calibri" w:hAnsiTheme="majorHAnsi" w:cstheme="majorHAnsi"/>
                <w:color w:val="FF0000"/>
                <w:lang w:val="es-ES"/>
              </w:rPr>
              <w:t>No ratificado</w:t>
            </w:r>
          </w:p>
          <w:p w14:paraId="3D08DD25" w14:textId="77777777" w:rsidR="00B633FA" w:rsidRPr="00C40709" w:rsidRDefault="00B633FA" w:rsidP="00B633FA">
            <w:pPr>
              <w:widowControl w:val="0"/>
              <w:numPr>
                <w:ilvl w:val="0"/>
                <w:numId w:val="1"/>
              </w:numPr>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Convenio del Consejo de Europa sobre la protección de las niñas, los niños y los adolescentes contra la</w:t>
            </w:r>
          </w:p>
          <w:p w14:paraId="1818A6B7" w14:textId="2845AF3D" w:rsidR="00B633FA" w:rsidRPr="00C40709" w:rsidRDefault="00B633FA" w:rsidP="00B633FA">
            <w:pPr>
              <w:widowControl w:val="0"/>
              <w:spacing w:line="240" w:lineRule="auto"/>
              <w:ind w:left="720"/>
              <w:rPr>
                <w:rFonts w:asciiTheme="majorHAnsi" w:eastAsia="Calibri" w:hAnsiTheme="majorHAnsi" w:cstheme="majorHAnsi"/>
                <w:lang w:val="es-ES"/>
              </w:rPr>
            </w:pPr>
            <w:r w:rsidRPr="00C40709">
              <w:rPr>
                <w:rFonts w:asciiTheme="majorHAnsi" w:eastAsia="Calibri" w:hAnsiTheme="majorHAnsi" w:cstheme="majorHAnsi"/>
                <w:lang w:val="es-ES"/>
              </w:rPr>
              <w:t xml:space="preserve">explotación y el abuso sexuales (Convenio de Lanzarote) </w:t>
            </w:r>
            <w:r w:rsidR="006E5E86" w:rsidRPr="00C40709">
              <w:rPr>
                <w:rFonts w:asciiTheme="majorHAnsi" w:eastAsia="Calibri" w:hAnsiTheme="majorHAnsi" w:cstheme="majorHAnsi"/>
                <w:lang w:val="es-ES"/>
              </w:rPr>
              <w:t>–</w:t>
            </w:r>
            <w:r w:rsidRPr="00C40709">
              <w:rPr>
                <w:rFonts w:asciiTheme="majorHAnsi" w:eastAsia="Calibri" w:hAnsiTheme="majorHAnsi" w:cstheme="majorHAnsi"/>
                <w:lang w:val="es-ES"/>
              </w:rPr>
              <w:t xml:space="preserve"> </w:t>
            </w:r>
            <w:r w:rsidR="006E5E86" w:rsidRPr="00C40709">
              <w:rPr>
                <w:rFonts w:asciiTheme="majorHAnsi" w:eastAsia="Calibri" w:hAnsiTheme="majorHAnsi" w:cstheme="majorHAnsi"/>
                <w:color w:val="FF0000"/>
                <w:lang w:val="es-ES"/>
              </w:rPr>
              <w:t>Ratificado en 2012</w:t>
            </w:r>
          </w:p>
          <w:p w14:paraId="00000078" w14:textId="55BBF4C9" w:rsidR="00241F4E" w:rsidRPr="00C40709" w:rsidRDefault="00892C68" w:rsidP="00B633FA">
            <w:pPr>
              <w:widowControl w:val="0"/>
              <w:numPr>
                <w:ilvl w:val="0"/>
                <w:numId w:val="1"/>
              </w:numPr>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Convenio del Consejo de Europa sobre la ciberdelincuencia (Convenio de Budapest) </w:t>
            </w:r>
            <w:r w:rsidR="006E5E86" w:rsidRPr="00C40709">
              <w:rPr>
                <w:rFonts w:asciiTheme="majorHAnsi" w:eastAsia="Calibri" w:hAnsiTheme="majorHAnsi" w:cstheme="majorHAnsi"/>
                <w:lang w:val="es-ES"/>
              </w:rPr>
              <w:t>–</w:t>
            </w:r>
            <w:r w:rsidRPr="00C40709">
              <w:rPr>
                <w:rFonts w:asciiTheme="majorHAnsi" w:eastAsia="Calibri" w:hAnsiTheme="majorHAnsi" w:cstheme="majorHAnsi"/>
                <w:lang w:val="es-ES"/>
              </w:rPr>
              <w:t xml:space="preserve"> </w:t>
            </w:r>
            <w:r w:rsidR="006E5E86" w:rsidRPr="00C40709">
              <w:rPr>
                <w:rFonts w:asciiTheme="majorHAnsi" w:eastAsia="Calibri" w:hAnsiTheme="majorHAnsi" w:cstheme="majorHAnsi"/>
                <w:color w:val="FF0000"/>
                <w:lang w:val="es-ES"/>
              </w:rPr>
              <w:t>Ratificado en 2009</w:t>
            </w:r>
            <w:r w:rsidRPr="00C40709">
              <w:rPr>
                <w:rFonts w:asciiTheme="majorHAnsi" w:eastAsia="Calibri" w:hAnsiTheme="majorHAnsi" w:cstheme="majorHAnsi"/>
                <w:lang w:val="es-ES"/>
              </w:rPr>
              <w:t xml:space="preserve"> </w:t>
            </w:r>
          </w:p>
          <w:p w14:paraId="0000007B" w14:textId="6E0A5310" w:rsidR="00241F4E" w:rsidRPr="00C40709" w:rsidRDefault="00B633FA" w:rsidP="00B633FA">
            <w:pPr>
              <w:widowControl w:val="0"/>
              <w:numPr>
                <w:ilvl w:val="0"/>
                <w:numId w:val="1"/>
              </w:numPr>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Convención Interamericana sobre Tráfico  </w:t>
            </w:r>
            <w:r w:rsidR="00892C68" w:rsidRPr="00C40709">
              <w:rPr>
                <w:rFonts w:asciiTheme="majorHAnsi" w:eastAsia="Calibri" w:hAnsiTheme="majorHAnsi" w:cstheme="majorHAnsi"/>
                <w:lang w:val="es-ES"/>
              </w:rPr>
              <w:t>Internacional de Menores (1994) - Ratificado en 2002</w:t>
            </w:r>
          </w:p>
          <w:p w14:paraId="0000007D" w14:textId="501E194E" w:rsidR="00241F4E" w:rsidRPr="00C40709" w:rsidRDefault="00B633FA" w:rsidP="00A568C0">
            <w:pPr>
              <w:widowControl w:val="0"/>
              <w:numPr>
                <w:ilvl w:val="0"/>
                <w:numId w:val="1"/>
              </w:numPr>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Convención Interamericana para Prevenir, Sancionar y Erradicar la Violencia contra la Mujer (1994) – Ratificado en</w:t>
            </w:r>
            <w:r w:rsidR="00A568C0" w:rsidRPr="00C40709">
              <w:rPr>
                <w:rFonts w:asciiTheme="majorHAnsi" w:eastAsia="Calibri" w:hAnsiTheme="majorHAnsi" w:cstheme="majorHAnsi"/>
                <w:lang w:val="es-ES"/>
              </w:rPr>
              <w:t xml:space="preserve"> 1995</w:t>
            </w:r>
          </w:p>
        </w:tc>
      </w:tr>
      <w:tr w:rsidR="00241F4E" w:rsidRPr="00C40709" w14:paraId="73EF6968" w14:textId="77777777" w:rsidTr="00E2483A">
        <w:tc>
          <w:tcPr>
            <w:tcW w:w="585" w:type="dxa"/>
            <w:shd w:val="clear" w:color="auto" w:fill="auto"/>
            <w:tcMar>
              <w:top w:w="100" w:type="dxa"/>
              <w:left w:w="100" w:type="dxa"/>
              <w:bottom w:w="100" w:type="dxa"/>
              <w:right w:w="100" w:type="dxa"/>
            </w:tcMar>
          </w:tcPr>
          <w:p w14:paraId="00000084"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19.</w:t>
            </w:r>
          </w:p>
        </w:tc>
        <w:tc>
          <w:tcPr>
            <w:tcW w:w="3675" w:type="dxa"/>
            <w:shd w:val="clear" w:color="auto" w:fill="auto"/>
            <w:tcMar>
              <w:top w:w="100" w:type="dxa"/>
              <w:left w:w="100" w:type="dxa"/>
              <w:bottom w:w="100" w:type="dxa"/>
              <w:right w:w="100" w:type="dxa"/>
            </w:tcMar>
          </w:tcPr>
          <w:p w14:paraId="00000085" w14:textId="3E097BC7" w:rsidR="00241F4E"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Establecer </w:t>
            </w:r>
            <w:r w:rsidRPr="00C40709">
              <w:rPr>
                <w:rFonts w:asciiTheme="majorHAnsi" w:eastAsia="Calibri" w:hAnsiTheme="majorHAnsi" w:cstheme="majorHAnsi"/>
                <w:b/>
                <w:lang w:val="es-ES"/>
              </w:rPr>
              <w:t>medidas de protección</w:t>
            </w:r>
            <w:r w:rsidRPr="00C40709">
              <w:rPr>
                <w:rFonts w:asciiTheme="majorHAnsi" w:eastAsia="Calibri" w:hAnsiTheme="majorHAnsi" w:cstheme="majorHAnsi"/>
                <w:lang w:val="es-ES"/>
              </w:rPr>
              <w:t xml:space="preserve"> para niñas, niños y adolescentes víctimas en cualquier etapa del proceso judicial contra el presunto </w:t>
            </w:r>
            <w:r w:rsidRPr="00C40709">
              <w:rPr>
                <w:rFonts w:asciiTheme="majorHAnsi" w:eastAsia="Calibri" w:hAnsiTheme="majorHAnsi" w:cstheme="majorHAnsi"/>
                <w:lang w:val="es-ES"/>
              </w:rPr>
              <w:lastRenderedPageBreak/>
              <w:t>delincuente.</w:t>
            </w:r>
          </w:p>
        </w:tc>
        <w:tc>
          <w:tcPr>
            <w:tcW w:w="1610" w:type="dxa"/>
            <w:shd w:val="clear" w:color="auto" w:fill="auto"/>
            <w:tcMar>
              <w:top w:w="100" w:type="dxa"/>
              <w:left w:w="100" w:type="dxa"/>
              <w:bottom w:w="100" w:type="dxa"/>
              <w:right w:w="100" w:type="dxa"/>
            </w:tcMar>
          </w:tcPr>
          <w:p w14:paraId="00000086"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lastRenderedPageBreak/>
              <w:t>Sí</w:t>
            </w:r>
          </w:p>
        </w:tc>
        <w:tc>
          <w:tcPr>
            <w:tcW w:w="4450" w:type="dxa"/>
            <w:shd w:val="clear" w:color="auto" w:fill="auto"/>
            <w:tcMar>
              <w:top w:w="100" w:type="dxa"/>
              <w:left w:w="100" w:type="dxa"/>
              <w:bottom w:w="100" w:type="dxa"/>
              <w:right w:w="100" w:type="dxa"/>
            </w:tcMar>
          </w:tcPr>
          <w:p w14:paraId="7DEE29A4" w14:textId="77777777" w:rsidR="006E5E86" w:rsidRPr="00C40709" w:rsidRDefault="006E5E86">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La</w:t>
            </w:r>
            <w:r w:rsidR="005D56A1" w:rsidRPr="00C40709">
              <w:rPr>
                <w:rFonts w:asciiTheme="majorHAnsi" w:eastAsia="Calibri" w:hAnsiTheme="majorHAnsi" w:cstheme="majorHAnsi"/>
                <w:lang w:val="es-ES"/>
              </w:rPr>
              <w:t>s NNA víctimas de infracciones penales tienen garantizadas constitucionalmente su protección de cualquier amenaza u otras formas de intimidación.</w:t>
            </w:r>
            <w:r w:rsidR="005D56A1" w:rsidRPr="00C40709">
              <w:rPr>
                <w:rFonts w:asciiTheme="majorHAnsi" w:eastAsia="Calibri" w:hAnsiTheme="majorHAnsi" w:cstheme="majorHAnsi"/>
                <w:vertAlign w:val="superscript"/>
                <w:lang w:val="es-ES"/>
              </w:rPr>
              <w:footnoteReference w:id="9"/>
            </w:r>
            <w:r w:rsidR="005D56A1" w:rsidRPr="00C40709">
              <w:rPr>
                <w:rFonts w:asciiTheme="majorHAnsi" w:eastAsia="Calibri" w:hAnsiTheme="majorHAnsi" w:cstheme="majorHAnsi"/>
                <w:lang w:val="es-ES"/>
              </w:rPr>
              <w:t xml:space="preserve"> Además, la </w:t>
            </w:r>
            <w:r w:rsidR="005D56A1" w:rsidRPr="00C40709">
              <w:rPr>
                <w:rFonts w:asciiTheme="majorHAnsi" w:eastAsia="Calibri" w:hAnsiTheme="majorHAnsi" w:cstheme="majorHAnsi"/>
                <w:lang w:val="es-ES"/>
              </w:rPr>
              <w:lastRenderedPageBreak/>
              <w:t>Constitución ecuatoriana prescribe el establecimiento de un sistema de protección y asistencia a víctimas, testigos y participantes procesales</w:t>
            </w:r>
            <w:r w:rsidR="005D56A1" w:rsidRPr="00C40709">
              <w:rPr>
                <w:rFonts w:asciiTheme="majorHAnsi" w:eastAsia="Calibri" w:hAnsiTheme="majorHAnsi" w:cstheme="majorHAnsi"/>
                <w:vertAlign w:val="superscript"/>
                <w:lang w:val="es-ES"/>
              </w:rPr>
              <w:footnoteReference w:id="10"/>
            </w:r>
            <w:r w:rsidR="005D56A1" w:rsidRPr="00C40709">
              <w:rPr>
                <w:rFonts w:asciiTheme="majorHAnsi" w:eastAsia="Calibri" w:hAnsiTheme="majorHAnsi" w:cstheme="majorHAnsi"/>
                <w:lang w:val="es-ES"/>
              </w:rPr>
              <w:t xml:space="preserve"> y la legislación prevé expresamente que las NNA víctimas de explotación sexual puedan ingresar al Programa de víctimas y testigos</w:t>
            </w:r>
            <w:r w:rsidR="005D56A1" w:rsidRPr="00C40709">
              <w:rPr>
                <w:rFonts w:asciiTheme="majorHAnsi" w:eastAsia="Calibri" w:hAnsiTheme="majorHAnsi" w:cstheme="majorHAnsi"/>
                <w:vertAlign w:val="superscript"/>
                <w:lang w:val="es-ES"/>
              </w:rPr>
              <w:footnoteReference w:id="11"/>
            </w:r>
            <w:r w:rsidR="005D56A1" w:rsidRPr="00C40709">
              <w:rPr>
                <w:rFonts w:asciiTheme="majorHAnsi" w:eastAsia="Calibri" w:hAnsiTheme="majorHAnsi" w:cstheme="majorHAnsi"/>
                <w:lang w:val="es-ES"/>
              </w:rPr>
              <w:t xml:space="preserve"> dirigido por la Fiscalía General del Estado.</w:t>
            </w:r>
            <w:r w:rsidR="005D56A1" w:rsidRPr="00C40709">
              <w:rPr>
                <w:rFonts w:asciiTheme="majorHAnsi" w:eastAsia="Calibri" w:hAnsiTheme="majorHAnsi" w:cstheme="majorHAnsi"/>
                <w:vertAlign w:val="superscript"/>
                <w:lang w:val="es-ES"/>
              </w:rPr>
              <w:footnoteReference w:id="12"/>
            </w:r>
            <w:r w:rsidR="005D56A1" w:rsidRPr="00C40709">
              <w:rPr>
                <w:rFonts w:asciiTheme="majorHAnsi" w:eastAsia="Calibri" w:hAnsiTheme="majorHAnsi" w:cstheme="majorHAnsi"/>
                <w:lang w:val="es-ES"/>
              </w:rPr>
              <w:t xml:space="preserve"> </w:t>
            </w:r>
          </w:p>
          <w:p w14:paraId="3440B1C9" w14:textId="77777777" w:rsidR="006E5E86" w:rsidRPr="00C40709" w:rsidRDefault="006E5E86">
            <w:pPr>
              <w:widowControl w:val="0"/>
              <w:spacing w:line="240" w:lineRule="auto"/>
              <w:rPr>
                <w:rFonts w:asciiTheme="majorHAnsi" w:eastAsia="Calibri" w:hAnsiTheme="majorHAnsi" w:cstheme="majorHAnsi"/>
                <w:lang w:val="es-ES"/>
              </w:rPr>
            </w:pPr>
          </w:p>
          <w:p w14:paraId="00000088" w14:textId="5011D399" w:rsidR="00241F4E" w:rsidRPr="00C40709" w:rsidRDefault="005D56A1">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En dicho Programa se prevé el derecho de las NNA víctimas a estar acompañadas de su representante legal, abogada/a o un/a analista psicológico durante todas las diligencias o etapas procesales para reducir el nivel de ansiedad o estrés.</w:t>
            </w:r>
            <w:r w:rsidRPr="00C40709">
              <w:rPr>
                <w:rFonts w:asciiTheme="majorHAnsi" w:eastAsia="Calibri" w:hAnsiTheme="majorHAnsi" w:cstheme="majorHAnsi"/>
                <w:vertAlign w:val="superscript"/>
                <w:lang w:val="es-ES"/>
              </w:rPr>
              <w:footnoteReference w:id="13"/>
            </w:r>
            <w:r w:rsidRPr="00C40709">
              <w:rPr>
                <w:rFonts w:asciiTheme="majorHAnsi" w:eastAsia="Calibri" w:hAnsiTheme="majorHAnsi" w:cstheme="majorHAnsi"/>
                <w:lang w:val="es-ES"/>
              </w:rPr>
              <w:t xml:space="preserve"> </w:t>
            </w:r>
          </w:p>
          <w:p w14:paraId="00000090" w14:textId="1D76A836" w:rsidR="00241F4E" w:rsidRPr="00C40709" w:rsidRDefault="00241F4E">
            <w:pPr>
              <w:widowControl w:val="0"/>
              <w:spacing w:line="240" w:lineRule="auto"/>
              <w:rPr>
                <w:rFonts w:asciiTheme="majorHAnsi" w:eastAsia="Calibri" w:hAnsiTheme="majorHAnsi" w:cstheme="majorHAnsi"/>
                <w:lang w:val="es-ES"/>
              </w:rPr>
            </w:pPr>
            <w:bookmarkStart w:id="0" w:name="_heading=h.gjdgxs" w:colFirst="0" w:colLast="0"/>
            <w:bookmarkEnd w:id="0"/>
          </w:p>
        </w:tc>
      </w:tr>
      <w:tr w:rsidR="00241F4E" w:rsidRPr="00C40709" w14:paraId="42ABA7BA" w14:textId="77777777" w:rsidTr="00E2483A">
        <w:tc>
          <w:tcPr>
            <w:tcW w:w="585" w:type="dxa"/>
            <w:shd w:val="clear" w:color="auto" w:fill="auto"/>
            <w:tcMar>
              <w:top w:w="100" w:type="dxa"/>
              <w:left w:w="100" w:type="dxa"/>
              <w:bottom w:w="100" w:type="dxa"/>
              <w:right w:w="100" w:type="dxa"/>
            </w:tcMar>
          </w:tcPr>
          <w:p w14:paraId="00000091"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lastRenderedPageBreak/>
              <w:t>20.</w:t>
            </w:r>
          </w:p>
        </w:tc>
        <w:tc>
          <w:tcPr>
            <w:tcW w:w="3675" w:type="dxa"/>
            <w:shd w:val="clear" w:color="auto" w:fill="auto"/>
            <w:tcMar>
              <w:top w:w="100" w:type="dxa"/>
              <w:left w:w="100" w:type="dxa"/>
              <w:bottom w:w="100" w:type="dxa"/>
              <w:right w:w="100" w:type="dxa"/>
            </w:tcMar>
          </w:tcPr>
          <w:p w14:paraId="0B48A7C1" w14:textId="77777777" w:rsidR="00D96FA7"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Establecer </w:t>
            </w:r>
            <w:r w:rsidRPr="00C40709">
              <w:rPr>
                <w:rFonts w:asciiTheme="majorHAnsi" w:eastAsia="Calibri" w:hAnsiTheme="majorHAnsi" w:cstheme="majorHAnsi"/>
                <w:b/>
                <w:lang w:val="es-ES"/>
              </w:rPr>
              <w:t>prácticas de entrevistas</w:t>
            </w:r>
            <w:r w:rsidRPr="00C40709">
              <w:rPr>
                <w:rFonts w:asciiTheme="majorHAnsi" w:eastAsia="Calibri" w:hAnsiTheme="majorHAnsi" w:cstheme="majorHAnsi"/>
                <w:lang w:val="es-ES"/>
              </w:rPr>
              <w:t xml:space="preserve"> </w:t>
            </w:r>
            <w:r w:rsidRPr="00C40709">
              <w:rPr>
                <w:rFonts w:asciiTheme="majorHAnsi" w:eastAsia="Calibri" w:hAnsiTheme="majorHAnsi" w:cstheme="majorHAnsi"/>
                <w:b/>
                <w:lang w:val="es-ES"/>
              </w:rPr>
              <w:t>adaptadas a niñas, niños y adolescentes</w:t>
            </w:r>
            <w:r w:rsidRPr="00C40709">
              <w:rPr>
                <w:rFonts w:asciiTheme="majorHAnsi" w:eastAsia="Calibri" w:hAnsiTheme="majorHAnsi" w:cstheme="majorHAnsi"/>
                <w:lang w:val="es-ES"/>
              </w:rPr>
              <w:t xml:space="preserve"> por parte de policías </w:t>
            </w:r>
          </w:p>
          <w:p w14:paraId="00000092" w14:textId="7D58480A" w:rsidR="00241F4E"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capacitados profesionalmente.</w:t>
            </w:r>
          </w:p>
        </w:tc>
        <w:tc>
          <w:tcPr>
            <w:tcW w:w="1610" w:type="dxa"/>
            <w:shd w:val="clear" w:color="auto" w:fill="auto"/>
            <w:tcMar>
              <w:top w:w="100" w:type="dxa"/>
              <w:left w:w="100" w:type="dxa"/>
              <w:bottom w:w="100" w:type="dxa"/>
              <w:right w:w="100" w:type="dxa"/>
            </w:tcMar>
          </w:tcPr>
          <w:p w14:paraId="00000093" w14:textId="0242DD62" w:rsidR="00241F4E" w:rsidRPr="00C40709" w:rsidRDefault="00B633FA">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Parcialmente</w:t>
            </w:r>
          </w:p>
        </w:tc>
        <w:tc>
          <w:tcPr>
            <w:tcW w:w="4450" w:type="dxa"/>
            <w:shd w:val="clear" w:color="auto" w:fill="auto"/>
            <w:tcMar>
              <w:top w:w="100" w:type="dxa"/>
              <w:left w:w="100" w:type="dxa"/>
              <w:bottom w:w="100" w:type="dxa"/>
              <w:right w:w="100" w:type="dxa"/>
            </w:tcMar>
          </w:tcPr>
          <w:p w14:paraId="39B13090" w14:textId="164DF044" w:rsidR="005D56A1" w:rsidRPr="00C40709" w:rsidRDefault="00892C68" w:rsidP="005D56A1">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El Protocolo de Entrevista Forense para Niños Víctimas de Violencia Sexual permite asegurar la calidad del testimonio como prueba, evitar la </w:t>
            </w:r>
            <w:r w:rsidRPr="00C40709">
              <w:rPr>
                <w:rFonts w:asciiTheme="majorHAnsi" w:eastAsia="Calibri" w:hAnsiTheme="majorHAnsi" w:cstheme="majorHAnsi"/>
                <w:lang w:val="es-ES"/>
              </w:rPr>
              <w:t xml:space="preserve">revictimización de los niños y determinar las técnicas de la escucha especializada. El protocolo es un instrumento para fiscales, jueces, peritos y equipos técnicos. </w:t>
            </w:r>
          </w:p>
          <w:p w14:paraId="3C3867F9" w14:textId="77777777" w:rsidR="005D56A1" w:rsidRPr="00C40709" w:rsidRDefault="005D56A1" w:rsidP="005D56A1">
            <w:pPr>
              <w:widowControl w:val="0"/>
              <w:spacing w:line="240" w:lineRule="auto"/>
              <w:rPr>
                <w:rFonts w:asciiTheme="majorHAnsi" w:eastAsia="Calibri" w:hAnsiTheme="majorHAnsi" w:cstheme="majorHAnsi"/>
                <w:lang w:val="es-ES"/>
              </w:rPr>
            </w:pPr>
          </w:p>
          <w:p w14:paraId="6A5503C2" w14:textId="470720D7" w:rsidR="005D56A1" w:rsidRPr="00C40709" w:rsidRDefault="005D56A1" w:rsidP="005D56A1">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No</w:t>
            </w:r>
            <w:r w:rsidR="00A568C0" w:rsidRPr="00C40709">
              <w:rPr>
                <w:rFonts w:asciiTheme="majorHAnsi" w:eastAsia="Calibri" w:hAnsiTheme="majorHAnsi" w:cstheme="majorHAnsi"/>
                <w:lang w:val="es-ES"/>
              </w:rPr>
              <w:t xml:space="preserve"> existe un Centro de Defensa de la Infancia en el país (en inglés Child Advocacy Center). </w:t>
            </w:r>
          </w:p>
          <w:p w14:paraId="5F112644" w14:textId="77777777" w:rsidR="005D56A1" w:rsidRPr="00C40709" w:rsidRDefault="005D56A1" w:rsidP="005D56A1">
            <w:pPr>
              <w:widowControl w:val="0"/>
              <w:spacing w:line="240" w:lineRule="auto"/>
              <w:rPr>
                <w:rFonts w:asciiTheme="majorHAnsi" w:eastAsia="Calibri" w:hAnsiTheme="majorHAnsi" w:cstheme="majorHAnsi"/>
                <w:lang w:val="es-ES"/>
              </w:rPr>
            </w:pPr>
          </w:p>
          <w:p w14:paraId="00000094" w14:textId="2A782ADD" w:rsidR="00D96FA7" w:rsidRPr="00C40709" w:rsidRDefault="00A568C0" w:rsidP="005D56A1">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En el ámbito penal existe la Defensoría Pública, con competencia para patrocinar </w:t>
            </w:r>
            <w:r w:rsidRPr="00C40709">
              <w:rPr>
                <w:rFonts w:asciiTheme="majorHAnsi" w:eastAsia="Calibri" w:hAnsiTheme="majorHAnsi" w:cstheme="majorHAnsi"/>
                <w:lang w:val="es-ES"/>
              </w:rPr>
              <w:t xml:space="preserve">y brindar defensa técnica a NNA víctimas de infracciones contra la integridad sexual y trata de personas.  </w:t>
            </w:r>
          </w:p>
        </w:tc>
      </w:tr>
      <w:tr w:rsidR="00241F4E" w:rsidRPr="00C40709" w14:paraId="4E4E689B" w14:textId="77777777" w:rsidTr="00E2483A">
        <w:tc>
          <w:tcPr>
            <w:tcW w:w="585" w:type="dxa"/>
            <w:shd w:val="clear" w:color="auto" w:fill="auto"/>
            <w:tcMar>
              <w:top w:w="100" w:type="dxa"/>
              <w:left w:w="100" w:type="dxa"/>
              <w:bottom w:w="100" w:type="dxa"/>
              <w:right w:w="100" w:type="dxa"/>
            </w:tcMar>
          </w:tcPr>
          <w:p w14:paraId="00000095"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21.</w:t>
            </w:r>
          </w:p>
        </w:tc>
        <w:tc>
          <w:tcPr>
            <w:tcW w:w="3675" w:type="dxa"/>
            <w:shd w:val="clear" w:color="auto" w:fill="auto"/>
            <w:tcMar>
              <w:top w:w="100" w:type="dxa"/>
              <w:left w:w="100" w:type="dxa"/>
              <w:bottom w:w="100" w:type="dxa"/>
              <w:right w:w="100" w:type="dxa"/>
            </w:tcMar>
          </w:tcPr>
          <w:p w14:paraId="20528018" w14:textId="77777777" w:rsidR="00D96FA7" w:rsidRPr="00C40709" w:rsidRDefault="00D96FA7" w:rsidP="00D96FA7">
            <w:pPr>
              <w:widowControl w:val="0"/>
              <w:spacing w:line="240" w:lineRule="auto"/>
              <w:rPr>
                <w:rFonts w:asciiTheme="majorHAnsi" w:eastAsia="Calibri" w:hAnsiTheme="majorHAnsi" w:cstheme="majorHAnsi"/>
                <w:b/>
                <w:lang w:val="es-ES"/>
              </w:rPr>
            </w:pPr>
            <w:r w:rsidRPr="00C40709">
              <w:rPr>
                <w:rFonts w:asciiTheme="majorHAnsi" w:eastAsia="Calibri" w:hAnsiTheme="majorHAnsi" w:cstheme="majorHAnsi"/>
                <w:lang w:val="es-ES"/>
              </w:rPr>
              <w:t xml:space="preserve">Asegurar que la legislación nacional otorgue a niñas, niños y adolescentes víctimas </w:t>
            </w:r>
            <w:r w:rsidRPr="00C40709">
              <w:rPr>
                <w:rFonts w:asciiTheme="majorHAnsi" w:eastAsia="Calibri" w:hAnsiTheme="majorHAnsi" w:cstheme="majorHAnsi"/>
                <w:b/>
                <w:lang w:val="es-ES"/>
              </w:rPr>
              <w:t xml:space="preserve">el derecho a </w:t>
            </w:r>
          </w:p>
          <w:p w14:paraId="00000096" w14:textId="1808E932" w:rsidR="00241F4E"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b/>
                <w:lang w:val="es-ES"/>
              </w:rPr>
              <w:t>recibir apoyo en su recuperación y rehabilitación</w:t>
            </w:r>
            <w:r w:rsidRPr="00C40709">
              <w:rPr>
                <w:rFonts w:asciiTheme="majorHAnsi" w:eastAsia="Calibri" w:hAnsiTheme="majorHAnsi" w:cstheme="majorHAnsi"/>
                <w:lang w:val="es-ES"/>
              </w:rPr>
              <w:t>, incluido el acceso a los servicios de reintegración.</w:t>
            </w:r>
          </w:p>
        </w:tc>
        <w:tc>
          <w:tcPr>
            <w:tcW w:w="1610" w:type="dxa"/>
            <w:shd w:val="clear" w:color="auto" w:fill="auto"/>
            <w:tcMar>
              <w:top w:w="100" w:type="dxa"/>
              <w:left w:w="100" w:type="dxa"/>
              <w:bottom w:w="100" w:type="dxa"/>
              <w:right w:w="100" w:type="dxa"/>
            </w:tcMar>
          </w:tcPr>
          <w:p w14:paraId="00000097"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Sí</w:t>
            </w:r>
          </w:p>
        </w:tc>
        <w:tc>
          <w:tcPr>
            <w:tcW w:w="4450" w:type="dxa"/>
            <w:shd w:val="clear" w:color="auto" w:fill="auto"/>
            <w:tcMar>
              <w:top w:w="100" w:type="dxa"/>
              <w:left w:w="100" w:type="dxa"/>
              <w:bottom w:w="100" w:type="dxa"/>
              <w:right w:w="100" w:type="dxa"/>
            </w:tcMar>
          </w:tcPr>
          <w:p w14:paraId="00000098"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Artículo 27 del Código de la Niñez y Adolescencia establece el derecho a la salud y el acceso a la rehabilitación de la salud de NNA.</w:t>
            </w:r>
          </w:p>
          <w:p w14:paraId="00000099" w14:textId="77777777" w:rsidR="00241F4E" w:rsidRPr="00C40709" w:rsidRDefault="00241F4E">
            <w:pPr>
              <w:widowControl w:val="0"/>
              <w:spacing w:line="240" w:lineRule="auto"/>
              <w:rPr>
                <w:rFonts w:asciiTheme="majorHAnsi" w:eastAsia="Calibri" w:hAnsiTheme="majorHAnsi" w:cstheme="majorHAnsi"/>
                <w:lang w:val="es-ES"/>
              </w:rPr>
            </w:pPr>
          </w:p>
          <w:p w14:paraId="0000009A"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Artículos 77 y 78 del COIP aseguran a la víctima el derecho a la rehabilitación mediante la atención médica y psicológica así como a garantizar la prestación de servicios jurídicos y sociales necesarios.</w:t>
            </w:r>
          </w:p>
          <w:p w14:paraId="0000009B" w14:textId="77777777" w:rsidR="00241F4E" w:rsidRPr="00C40709" w:rsidRDefault="00241F4E">
            <w:pPr>
              <w:widowControl w:val="0"/>
              <w:spacing w:line="240" w:lineRule="auto"/>
              <w:rPr>
                <w:rFonts w:asciiTheme="majorHAnsi" w:eastAsia="Calibri" w:hAnsiTheme="majorHAnsi" w:cstheme="majorHAnsi"/>
                <w:lang w:val="es-ES"/>
              </w:rPr>
            </w:pPr>
          </w:p>
          <w:p w14:paraId="0000009C"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Por último, la Constitución impone al Estado a adoptar medidas de prevención y erradicación </w:t>
            </w:r>
            <w:r w:rsidRPr="00C40709">
              <w:rPr>
                <w:rFonts w:asciiTheme="majorHAnsi" w:eastAsia="Calibri" w:hAnsiTheme="majorHAnsi" w:cstheme="majorHAnsi"/>
                <w:lang w:val="es-ES"/>
              </w:rPr>
              <w:lastRenderedPageBreak/>
              <w:t>de la trata de personas, y de protección y reinserción social de las víctimas de la trata y de otras formas de violación de la libertad (artículo 66).</w:t>
            </w:r>
          </w:p>
        </w:tc>
      </w:tr>
      <w:tr w:rsidR="00241F4E" w:rsidRPr="00C40709" w14:paraId="310FDA93" w14:textId="77777777" w:rsidTr="00E2483A">
        <w:tc>
          <w:tcPr>
            <w:tcW w:w="585" w:type="dxa"/>
            <w:shd w:val="clear" w:color="auto" w:fill="auto"/>
            <w:tcMar>
              <w:top w:w="100" w:type="dxa"/>
              <w:left w:w="100" w:type="dxa"/>
              <w:bottom w:w="100" w:type="dxa"/>
              <w:right w:w="100" w:type="dxa"/>
            </w:tcMar>
          </w:tcPr>
          <w:p w14:paraId="0000009D"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lastRenderedPageBreak/>
              <w:t>22.</w:t>
            </w:r>
          </w:p>
        </w:tc>
        <w:tc>
          <w:tcPr>
            <w:tcW w:w="3675" w:type="dxa"/>
            <w:shd w:val="clear" w:color="auto" w:fill="auto"/>
            <w:tcMar>
              <w:top w:w="100" w:type="dxa"/>
              <w:left w:w="100" w:type="dxa"/>
              <w:bottom w:w="100" w:type="dxa"/>
              <w:right w:w="100" w:type="dxa"/>
            </w:tcMar>
          </w:tcPr>
          <w:p w14:paraId="515FC89C" w14:textId="77777777" w:rsidR="00D96FA7"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Establecer </w:t>
            </w:r>
            <w:r w:rsidRPr="00C40709">
              <w:rPr>
                <w:rFonts w:asciiTheme="majorHAnsi" w:eastAsia="Calibri" w:hAnsiTheme="majorHAnsi" w:cstheme="majorHAnsi"/>
                <w:b/>
                <w:lang w:val="es-ES"/>
              </w:rPr>
              <w:t xml:space="preserve">un mecanismo nacional de denuncia </w:t>
            </w:r>
            <w:r w:rsidRPr="00C40709">
              <w:rPr>
                <w:rFonts w:asciiTheme="majorHAnsi" w:eastAsia="Calibri" w:hAnsiTheme="majorHAnsi" w:cstheme="majorHAnsi"/>
                <w:lang w:val="es-ES"/>
              </w:rPr>
              <w:t xml:space="preserve">(por ejemplo, una línea directa) que coordine el </w:t>
            </w:r>
          </w:p>
          <w:p w14:paraId="629FE2A9" w14:textId="77777777" w:rsidR="00D96FA7"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acceso a los servicios y ayude a superar la renuencia a denunciar la explotación sexual de niñas, </w:t>
            </w:r>
          </w:p>
          <w:p w14:paraId="0000009E" w14:textId="2AC74D01" w:rsidR="00241F4E"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niños y adolescentes.</w:t>
            </w:r>
          </w:p>
        </w:tc>
        <w:tc>
          <w:tcPr>
            <w:tcW w:w="1610" w:type="dxa"/>
            <w:shd w:val="clear" w:color="auto" w:fill="auto"/>
            <w:tcMar>
              <w:top w:w="100" w:type="dxa"/>
              <w:left w:w="100" w:type="dxa"/>
              <w:bottom w:w="100" w:type="dxa"/>
              <w:right w:w="100" w:type="dxa"/>
            </w:tcMar>
          </w:tcPr>
          <w:p w14:paraId="0000009F"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Sí</w:t>
            </w:r>
          </w:p>
        </w:tc>
        <w:tc>
          <w:tcPr>
            <w:tcW w:w="4450" w:type="dxa"/>
            <w:shd w:val="clear" w:color="auto" w:fill="auto"/>
            <w:tcMar>
              <w:top w:w="100" w:type="dxa"/>
              <w:left w:w="100" w:type="dxa"/>
              <w:bottom w:w="100" w:type="dxa"/>
              <w:right w:w="100" w:type="dxa"/>
            </w:tcMar>
          </w:tcPr>
          <w:p w14:paraId="70283015" w14:textId="3BFBBCEC" w:rsidR="005D56A1" w:rsidRPr="00C40709" w:rsidRDefault="005D56A1">
            <w:pPr>
              <w:widowControl w:val="0"/>
              <w:spacing w:line="240" w:lineRule="auto"/>
              <w:rPr>
                <w:rFonts w:asciiTheme="majorHAnsi" w:eastAsia="Calibri" w:hAnsiTheme="majorHAnsi" w:cstheme="majorHAnsi"/>
                <w:lang w:val="es-ES"/>
              </w:rPr>
            </w:pPr>
            <w:r w:rsidRPr="00C40709">
              <w:rPr>
                <w:rFonts w:asciiTheme="majorHAnsi" w:hAnsiTheme="majorHAnsi" w:cstheme="majorHAnsi"/>
                <w:lang w:val="es-ES" w:eastAsia="es-ES"/>
              </w:rPr>
              <w:t>Las denuncias pueden ir dirigidas a las Juntas Cantonales de Protección de Derechos o directamente a la Fiscalía General del Estado.</w:t>
            </w:r>
          </w:p>
          <w:p w14:paraId="0B4CA5DB" w14:textId="77777777" w:rsidR="005D56A1" w:rsidRPr="00C40709" w:rsidRDefault="005D56A1">
            <w:pPr>
              <w:widowControl w:val="0"/>
              <w:spacing w:line="240" w:lineRule="auto"/>
              <w:rPr>
                <w:rFonts w:asciiTheme="majorHAnsi" w:eastAsia="Calibri" w:hAnsiTheme="majorHAnsi" w:cstheme="majorHAnsi"/>
                <w:lang w:val="es-ES"/>
              </w:rPr>
            </w:pPr>
          </w:p>
          <w:p w14:paraId="000000A0" w14:textId="22ED7921"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Es posible denunciar cualquier hecho delictivo a través de la línea telefónica de los servicios de emergencia a nivel nacional 911.</w:t>
            </w:r>
          </w:p>
          <w:p w14:paraId="000000A1" w14:textId="77777777" w:rsidR="00241F4E" w:rsidRPr="00C40709" w:rsidRDefault="00241F4E">
            <w:pPr>
              <w:widowControl w:val="0"/>
              <w:spacing w:line="240" w:lineRule="auto"/>
              <w:rPr>
                <w:rFonts w:asciiTheme="majorHAnsi" w:eastAsia="Calibri" w:hAnsiTheme="majorHAnsi" w:cstheme="majorHAnsi"/>
                <w:lang w:val="es-ES"/>
              </w:rPr>
            </w:pPr>
          </w:p>
          <w:p w14:paraId="000000A2"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También existe una línea gratuita 1800-828282 para recibir asesoría e información sobre violencia de género.</w:t>
            </w:r>
          </w:p>
          <w:p w14:paraId="000000A3" w14:textId="77777777" w:rsidR="00241F4E" w:rsidRPr="00C40709" w:rsidRDefault="00241F4E">
            <w:pPr>
              <w:widowControl w:val="0"/>
              <w:spacing w:line="240" w:lineRule="auto"/>
              <w:rPr>
                <w:rFonts w:asciiTheme="majorHAnsi" w:eastAsia="Calibri" w:hAnsiTheme="majorHAnsi" w:cstheme="majorHAnsi"/>
                <w:lang w:val="es-ES"/>
              </w:rPr>
            </w:pPr>
          </w:p>
          <w:p w14:paraId="000000A4"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Por último, en los casos de menor de edad, se puede contactar a la Dirección Nacional de Policía Especializada para Niños, Niñas y Adolescentes DINAPEN al teléfono: (02)2950214.</w:t>
            </w:r>
          </w:p>
        </w:tc>
      </w:tr>
      <w:tr w:rsidR="00241F4E" w:rsidRPr="006701B8" w14:paraId="48411231" w14:textId="77777777" w:rsidTr="00E2483A">
        <w:tc>
          <w:tcPr>
            <w:tcW w:w="585" w:type="dxa"/>
            <w:shd w:val="clear" w:color="auto" w:fill="auto"/>
            <w:tcMar>
              <w:top w:w="100" w:type="dxa"/>
              <w:left w:w="100" w:type="dxa"/>
              <w:bottom w:w="100" w:type="dxa"/>
              <w:right w:w="100" w:type="dxa"/>
            </w:tcMar>
          </w:tcPr>
          <w:p w14:paraId="000000A5"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23.</w:t>
            </w:r>
          </w:p>
        </w:tc>
        <w:tc>
          <w:tcPr>
            <w:tcW w:w="3675" w:type="dxa"/>
            <w:shd w:val="clear" w:color="auto" w:fill="auto"/>
            <w:tcMar>
              <w:top w:w="100" w:type="dxa"/>
              <w:left w:w="100" w:type="dxa"/>
              <w:bottom w:w="100" w:type="dxa"/>
              <w:right w:w="100" w:type="dxa"/>
            </w:tcMar>
          </w:tcPr>
          <w:p w14:paraId="3136953F" w14:textId="58EDFE82" w:rsidR="00D96FA7"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Crear leyes, reglamentos y procedimientos de </w:t>
            </w:r>
            <w:r w:rsidRPr="00C40709">
              <w:rPr>
                <w:rFonts w:asciiTheme="majorHAnsi" w:eastAsia="Calibri" w:hAnsiTheme="majorHAnsi" w:cstheme="majorHAnsi"/>
                <w:b/>
                <w:lang w:val="es-ES"/>
              </w:rPr>
              <w:t xml:space="preserve">retención y preservación de datos </w:t>
            </w:r>
            <w:r w:rsidRPr="00C40709">
              <w:rPr>
                <w:rFonts w:asciiTheme="majorHAnsi" w:eastAsia="Calibri" w:hAnsiTheme="majorHAnsi" w:cstheme="majorHAnsi"/>
                <w:lang w:val="es-ES"/>
              </w:rPr>
              <w:t xml:space="preserve">para asegurar la retención y preservación de evidencia digital y permitir la cooperación con las fuerzas del orden </w:t>
            </w:r>
          </w:p>
          <w:p w14:paraId="160862F6" w14:textId="77777777" w:rsidR="00D96FA7"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que se aplica a los ISP, empresas de telefonía móvil, empresas de comunicación y redes sociales </w:t>
            </w:r>
          </w:p>
          <w:p w14:paraId="000000A6" w14:textId="5AC93F5F" w:rsidR="00241F4E"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digitales, empresas de almacenamiento en la nube, con sede en / operando en jurisdicción nacional.</w:t>
            </w:r>
          </w:p>
        </w:tc>
        <w:tc>
          <w:tcPr>
            <w:tcW w:w="1610" w:type="dxa"/>
            <w:shd w:val="clear" w:color="auto" w:fill="auto"/>
            <w:tcMar>
              <w:top w:w="100" w:type="dxa"/>
              <w:left w:w="100" w:type="dxa"/>
              <w:bottom w:w="100" w:type="dxa"/>
              <w:right w:w="100" w:type="dxa"/>
            </w:tcMar>
          </w:tcPr>
          <w:p w14:paraId="000000A7"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No</w:t>
            </w:r>
          </w:p>
        </w:tc>
        <w:tc>
          <w:tcPr>
            <w:tcW w:w="4450" w:type="dxa"/>
            <w:shd w:val="clear" w:color="auto" w:fill="auto"/>
            <w:tcMar>
              <w:top w:w="100" w:type="dxa"/>
              <w:left w:w="100" w:type="dxa"/>
              <w:bottom w:w="100" w:type="dxa"/>
              <w:right w:w="100" w:type="dxa"/>
            </w:tcMar>
          </w:tcPr>
          <w:p w14:paraId="000000A8" w14:textId="7C9A5476" w:rsidR="00241F4E" w:rsidRPr="00C40709" w:rsidRDefault="00241F4E">
            <w:pPr>
              <w:widowControl w:val="0"/>
              <w:spacing w:line="240" w:lineRule="auto"/>
              <w:rPr>
                <w:rFonts w:asciiTheme="majorHAnsi" w:eastAsia="Calibri" w:hAnsiTheme="majorHAnsi" w:cstheme="majorHAnsi"/>
                <w:lang w:val="es-ES"/>
              </w:rPr>
            </w:pPr>
          </w:p>
        </w:tc>
      </w:tr>
      <w:tr w:rsidR="00241F4E" w:rsidRPr="00C40709" w14:paraId="0363C503" w14:textId="77777777" w:rsidTr="00E2483A">
        <w:tc>
          <w:tcPr>
            <w:tcW w:w="585" w:type="dxa"/>
            <w:shd w:val="clear" w:color="auto" w:fill="auto"/>
            <w:tcMar>
              <w:top w:w="100" w:type="dxa"/>
              <w:left w:w="100" w:type="dxa"/>
              <w:bottom w:w="100" w:type="dxa"/>
              <w:right w:w="100" w:type="dxa"/>
            </w:tcMar>
          </w:tcPr>
          <w:p w14:paraId="000000A9"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24.</w:t>
            </w:r>
          </w:p>
          <w:p w14:paraId="000000AA" w14:textId="77777777" w:rsidR="00241F4E" w:rsidRPr="00C40709" w:rsidRDefault="00241F4E">
            <w:pPr>
              <w:widowControl w:val="0"/>
              <w:spacing w:line="240" w:lineRule="auto"/>
              <w:rPr>
                <w:rFonts w:asciiTheme="majorHAnsi" w:eastAsia="Calibri" w:hAnsiTheme="majorHAnsi" w:cstheme="majorHAnsi"/>
                <w:lang w:val="es-ES"/>
              </w:rPr>
            </w:pPr>
          </w:p>
        </w:tc>
        <w:tc>
          <w:tcPr>
            <w:tcW w:w="3675" w:type="dxa"/>
            <w:shd w:val="clear" w:color="auto" w:fill="auto"/>
            <w:tcMar>
              <w:top w:w="100" w:type="dxa"/>
              <w:left w:w="100" w:type="dxa"/>
              <w:bottom w:w="100" w:type="dxa"/>
              <w:right w:w="100" w:type="dxa"/>
            </w:tcMar>
          </w:tcPr>
          <w:p w14:paraId="7D9FC8FC" w14:textId="7BB307B4" w:rsidR="00D96FA7" w:rsidRPr="00C40709" w:rsidRDefault="00D96FA7" w:rsidP="00D96FA7">
            <w:pPr>
              <w:widowControl w:val="0"/>
              <w:spacing w:line="240" w:lineRule="auto"/>
              <w:rPr>
                <w:rFonts w:asciiTheme="majorHAnsi" w:eastAsia="Calibri" w:hAnsiTheme="majorHAnsi" w:cstheme="majorHAnsi"/>
                <w:b/>
                <w:lang w:val="es-ES"/>
              </w:rPr>
            </w:pPr>
            <w:r w:rsidRPr="00C40709">
              <w:rPr>
                <w:rFonts w:asciiTheme="majorHAnsi" w:eastAsia="Calibri" w:hAnsiTheme="majorHAnsi" w:cstheme="majorHAnsi"/>
                <w:lang w:val="es-ES"/>
              </w:rPr>
              <w:t xml:space="preserve">Garantizar que la legislación nacional establezca </w:t>
            </w:r>
            <w:r w:rsidRPr="00C40709">
              <w:rPr>
                <w:rFonts w:asciiTheme="majorHAnsi" w:eastAsia="Calibri" w:hAnsiTheme="majorHAnsi" w:cstheme="majorHAnsi"/>
                <w:b/>
                <w:lang w:val="es-ES"/>
              </w:rPr>
              <w:t xml:space="preserve">el derecho para todos niñas, niños y adolescentes </w:t>
            </w:r>
          </w:p>
          <w:p w14:paraId="75EE6CCC" w14:textId="77777777" w:rsidR="00D96FA7"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b/>
                <w:lang w:val="es-ES"/>
              </w:rPr>
              <w:t>víctimas de explotación sexual a solicitar una indemnización</w:t>
            </w:r>
            <w:r w:rsidRPr="00C40709">
              <w:rPr>
                <w:rFonts w:asciiTheme="majorHAnsi" w:eastAsia="Calibri" w:hAnsiTheme="majorHAnsi" w:cstheme="majorHAnsi"/>
                <w:lang w:val="es-ES"/>
              </w:rPr>
              <w:t xml:space="preserve"> en los tribunales nacionales de los </w:t>
            </w:r>
          </w:p>
          <w:p w14:paraId="000000AB" w14:textId="56D0B4AF" w:rsidR="00241F4E" w:rsidRPr="00C40709" w:rsidRDefault="00D96FA7" w:rsidP="00D96FA7">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culpables condenados que les hayan hecho daño y / o mediante fondos administrados por el Estado.</w:t>
            </w:r>
          </w:p>
        </w:tc>
        <w:tc>
          <w:tcPr>
            <w:tcW w:w="1610" w:type="dxa"/>
            <w:shd w:val="clear" w:color="auto" w:fill="auto"/>
            <w:tcMar>
              <w:top w:w="100" w:type="dxa"/>
              <w:left w:w="100" w:type="dxa"/>
              <w:bottom w:w="100" w:type="dxa"/>
              <w:right w:w="100" w:type="dxa"/>
            </w:tcMar>
          </w:tcPr>
          <w:p w14:paraId="000000AC" w14:textId="7619B75E" w:rsidR="00241F4E" w:rsidRPr="00C40709" w:rsidRDefault="00B633FA">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Sí</w:t>
            </w:r>
          </w:p>
        </w:tc>
        <w:tc>
          <w:tcPr>
            <w:tcW w:w="4450" w:type="dxa"/>
            <w:shd w:val="clear" w:color="auto" w:fill="auto"/>
            <w:tcMar>
              <w:top w:w="100" w:type="dxa"/>
              <w:left w:w="100" w:type="dxa"/>
              <w:bottom w:w="100" w:type="dxa"/>
              <w:right w:w="100" w:type="dxa"/>
            </w:tcMar>
          </w:tcPr>
          <w:p w14:paraId="000000AD"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No existe un procedimiento específico para que las NNA víctimas soliciten una compensación. </w:t>
            </w:r>
          </w:p>
          <w:p w14:paraId="000000AE" w14:textId="77777777" w:rsidR="00241F4E" w:rsidRPr="00C40709" w:rsidRDefault="00241F4E">
            <w:pPr>
              <w:widowControl w:val="0"/>
              <w:spacing w:line="240" w:lineRule="auto"/>
              <w:rPr>
                <w:rFonts w:asciiTheme="majorHAnsi" w:eastAsia="Calibri" w:hAnsiTheme="majorHAnsi" w:cstheme="majorHAnsi"/>
                <w:lang w:val="es-ES"/>
              </w:rPr>
            </w:pPr>
          </w:p>
          <w:p w14:paraId="000000AF"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Sin embargo, la Constitución en su artículo 78 establece que las víctimas de infracciones penales tendrán derecho a la restitución, indemnización y rehabilitación.</w:t>
            </w:r>
          </w:p>
          <w:p w14:paraId="000000B0" w14:textId="77777777" w:rsidR="00241F4E" w:rsidRPr="00C40709" w:rsidRDefault="00241F4E">
            <w:pPr>
              <w:widowControl w:val="0"/>
              <w:spacing w:line="240" w:lineRule="auto"/>
              <w:rPr>
                <w:rFonts w:asciiTheme="majorHAnsi" w:eastAsia="Calibri" w:hAnsiTheme="majorHAnsi" w:cstheme="majorHAnsi"/>
                <w:lang w:val="es-ES"/>
              </w:rPr>
            </w:pPr>
          </w:p>
          <w:p w14:paraId="000000B1" w14:textId="77777777" w:rsidR="00241F4E" w:rsidRPr="00C40709" w:rsidRDefault="00892C68">
            <w:pPr>
              <w:widowControl w:val="0"/>
              <w:spacing w:line="240" w:lineRule="auto"/>
              <w:rPr>
                <w:rFonts w:asciiTheme="majorHAnsi" w:eastAsia="Calibri" w:hAnsiTheme="majorHAnsi" w:cstheme="majorHAnsi"/>
                <w:lang w:val="es-ES"/>
              </w:rPr>
            </w:pPr>
            <w:r w:rsidRPr="00C40709">
              <w:rPr>
                <w:rFonts w:asciiTheme="majorHAnsi" w:eastAsia="Calibri" w:hAnsiTheme="majorHAnsi" w:cstheme="majorHAnsi"/>
                <w:lang w:val="es-ES"/>
              </w:rPr>
              <w:t xml:space="preserve">Artículos 11, 77 y 78 del COIP aseguran a la víctima el derecho a la reparación integral de los daños y el acceso a mecanismos de reparación integral, incluyendo la restitución y las indemnizaciones de daños materiales y </w:t>
            </w:r>
            <w:r w:rsidRPr="00C40709">
              <w:rPr>
                <w:rFonts w:asciiTheme="majorHAnsi" w:eastAsia="Calibri" w:hAnsiTheme="majorHAnsi" w:cstheme="majorHAnsi"/>
                <w:lang w:val="es-ES"/>
              </w:rPr>
              <w:lastRenderedPageBreak/>
              <w:t>inmateriales.</w:t>
            </w:r>
          </w:p>
        </w:tc>
      </w:tr>
    </w:tbl>
    <w:p w14:paraId="000000B4" w14:textId="27319EBF" w:rsidR="00241F4E" w:rsidRPr="00C40709" w:rsidRDefault="00D96FA7" w:rsidP="00D96FA7">
      <w:pPr>
        <w:rPr>
          <w:rFonts w:asciiTheme="majorHAnsi" w:eastAsia="Calibri" w:hAnsiTheme="majorHAnsi" w:cstheme="majorHAnsi"/>
          <w:b/>
          <w:lang w:val="es-ES"/>
        </w:rPr>
      </w:pPr>
      <w:r w:rsidRPr="00C40709">
        <w:rPr>
          <w:rFonts w:asciiTheme="majorHAnsi" w:hAnsiTheme="majorHAnsi" w:cstheme="majorHAnsi"/>
          <w:lang w:val="es-ES"/>
        </w:rPr>
        <w:lastRenderedPageBreak/>
        <w:br/>
      </w:r>
      <w:r w:rsidR="00892C68" w:rsidRPr="00C40709">
        <w:rPr>
          <w:rFonts w:asciiTheme="majorHAnsi" w:eastAsia="Calibri" w:hAnsiTheme="majorHAnsi" w:cstheme="majorHAnsi"/>
          <w:b/>
          <w:lang w:val="es-ES"/>
        </w:rPr>
        <w:t>Ecuador - Legislación</w:t>
      </w:r>
    </w:p>
    <w:p w14:paraId="000000B5" w14:textId="77777777" w:rsidR="00241F4E" w:rsidRPr="00C40709" w:rsidRDefault="00241F4E">
      <w:pPr>
        <w:spacing w:line="240" w:lineRule="auto"/>
        <w:rPr>
          <w:rFonts w:asciiTheme="majorHAnsi" w:eastAsia="Calibri" w:hAnsiTheme="majorHAnsi" w:cstheme="majorHAnsi"/>
          <w:b/>
          <w:lang w:val="es-ES"/>
        </w:rPr>
      </w:pPr>
    </w:p>
    <w:p w14:paraId="000000B6" w14:textId="15174284" w:rsidR="00241F4E" w:rsidRPr="00C40709" w:rsidRDefault="00CC09BD">
      <w:pPr>
        <w:spacing w:line="240" w:lineRule="auto"/>
        <w:rPr>
          <w:rFonts w:asciiTheme="majorHAnsi" w:eastAsia="Calibri" w:hAnsiTheme="majorHAnsi" w:cstheme="majorHAnsi"/>
          <w:b/>
          <w:lang w:val="es-ES"/>
        </w:rPr>
      </w:pPr>
      <w:hyperlink r:id="rId15" w:history="1">
        <w:hyperlink r:id="rId16" w:history="1">
          <w:r w:rsidR="00A63651" w:rsidRPr="00C40709">
            <w:rPr>
              <w:rStyle w:val="Hyperlink"/>
              <w:rFonts w:asciiTheme="majorHAnsi" w:hAnsiTheme="majorHAnsi" w:cstheme="majorHAnsi"/>
              <w:lang w:val="es-ES"/>
            </w:rPr>
            <w:t>Código Orgánico Integral Penal</w:t>
          </w:r>
        </w:hyperlink>
        <w:r w:rsidR="00A63651" w:rsidRPr="00C40709">
          <w:rPr>
            <w:rFonts w:asciiTheme="majorHAnsi" w:hAnsiTheme="majorHAnsi" w:cstheme="majorHAnsi"/>
            <w:lang w:val="es-ES"/>
          </w:rPr>
          <w:t xml:space="preserve"> </w:t>
        </w:r>
      </w:hyperlink>
    </w:p>
    <w:p w14:paraId="3B96ACD7" w14:textId="77777777" w:rsidR="00A63651" w:rsidRPr="00C40709" w:rsidRDefault="00A63651">
      <w:pPr>
        <w:spacing w:line="240" w:lineRule="auto"/>
        <w:rPr>
          <w:rFonts w:asciiTheme="majorHAnsi" w:eastAsia="Calibri" w:hAnsiTheme="majorHAnsi" w:cstheme="majorHAnsi"/>
          <w:lang w:val="es-ES"/>
        </w:rPr>
      </w:pPr>
    </w:p>
    <w:p w14:paraId="000000B9" w14:textId="4EA37F00" w:rsidR="00241F4E" w:rsidRPr="00C40709" w:rsidRDefault="00A63651">
      <w:pPr>
        <w:spacing w:line="240" w:lineRule="auto"/>
        <w:rPr>
          <w:rFonts w:asciiTheme="majorHAnsi" w:eastAsia="Calibri" w:hAnsiTheme="majorHAnsi" w:cstheme="majorHAnsi"/>
          <w:lang w:val="es-ES"/>
        </w:rPr>
      </w:pPr>
      <w:hyperlink r:id="rId17" w:history="1">
        <w:r w:rsidRPr="00C40709">
          <w:rPr>
            <w:rStyle w:val="Hyperlink"/>
            <w:rFonts w:asciiTheme="majorHAnsi" w:hAnsiTheme="majorHAnsi" w:cstheme="majorHAnsi"/>
            <w:lang w:val="es-ES"/>
          </w:rPr>
          <w:t>Código de la Niñez y Adolescencia</w:t>
        </w:r>
      </w:hyperlink>
      <w:r w:rsidRPr="00C40709">
        <w:rPr>
          <w:rFonts w:asciiTheme="majorHAnsi" w:hAnsiTheme="majorHAnsi" w:cstheme="majorHAnsi"/>
          <w:lang w:val="es-ES"/>
        </w:rPr>
        <w:t xml:space="preserve">. Artículo </w:t>
      </w:r>
    </w:p>
    <w:p w14:paraId="000000BB" w14:textId="77777777" w:rsidR="00241F4E" w:rsidRPr="00C40709" w:rsidRDefault="00241F4E">
      <w:pPr>
        <w:spacing w:line="240" w:lineRule="auto"/>
        <w:rPr>
          <w:rFonts w:asciiTheme="majorHAnsi" w:eastAsia="Calibri" w:hAnsiTheme="majorHAnsi" w:cstheme="majorHAnsi"/>
          <w:lang w:val="es-ES"/>
        </w:rPr>
      </w:pPr>
    </w:p>
    <w:p w14:paraId="000000BC" w14:textId="72CB6DF0" w:rsidR="00241F4E" w:rsidRPr="00C40709" w:rsidRDefault="00CC09BD">
      <w:pPr>
        <w:spacing w:line="240" w:lineRule="auto"/>
        <w:rPr>
          <w:rFonts w:asciiTheme="majorHAnsi" w:eastAsia="Calibri" w:hAnsiTheme="majorHAnsi" w:cstheme="majorHAnsi"/>
          <w:lang w:val="es-ES"/>
        </w:rPr>
      </w:pPr>
      <w:hyperlink r:id="rId18" w:history="1">
        <w:r w:rsidR="005F7FB9" w:rsidRPr="00C40709">
          <w:rPr>
            <w:rStyle w:val="Hyperlink"/>
            <w:rFonts w:asciiTheme="majorHAnsi" w:eastAsia="Calibri" w:hAnsiTheme="majorHAnsi" w:cstheme="majorHAnsi"/>
            <w:lang w:val="es-ES"/>
          </w:rPr>
          <w:t>Código del Trabajo</w:t>
        </w:r>
      </w:hyperlink>
    </w:p>
    <w:p w14:paraId="000000BD" w14:textId="77777777" w:rsidR="00241F4E" w:rsidRPr="00C40709" w:rsidRDefault="00241F4E">
      <w:pPr>
        <w:spacing w:line="240" w:lineRule="auto"/>
        <w:rPr>
          <w:rFonts w:asciiTheme="majorHAnsi" w:eastAsia="Calibri" w:hAnsiTheme="majorHAnsi" w:cstheme="majorHAnsi"/>
          <w:lang w:val="es-ES"/>
        </w:rPr>
      </w:pPr>
    </w:p>
    <w:p w14:paraId="3A5F00F6" w14:textId="1044D626" w:rsidR="001D7733" w:rsidRPr="00C40709" w:rsidRDefault="001D7733">
      <w:pPr>
        <w:spacing w:line="240" w:lineRule="auto"/>
        <w:rPr>
          <w:rFonts w:asciiTheme="majorHAnsi" w:eastAsia="Calibri" w:hAnsiTheme="majorHAnsi" w:cstheme="majorHAnsi"/>
          <w:lang w:val="es-ES"/>
        </w:rPr>
      </w:pPr>
      <w:hyperlink r:id="rId19" w:history="1">
        <w:r w:rsidRPr="00C40709">
          <w:rPr>
            <w:rStyle w:val="Hyperlink"/>
            <w:rFonts w:asciiTheme="majorHAnsi" w:hAnsiTheme="majorHAnsi" w:cstheme="majorHAnsi"/>
            <w:lang w:val="es-ES"/>
          </w:rPr>
          <w:t>Constitución de la República del Ecuador.</w:t>
        </w:r>
      </w:hyperlink>
    </w:p>
    <w:p w14:paraId="000000BF" w14:textId="77777777" w:rsidR="00241F4E" w:rsidRPr="00C40709" w:rsidRDefault="00241F4E">
      <w:pPr>
        <w:spacing w:line="240" w:lineRule="auto"/>
        <w:rPr>
          <w:rFonts w:asciiTheme="majorHAnsi" w:eastAsia="Calibri" w:hAnsiTheme="majorHAnsi" w:cstheme="majorHAnsi"/>
          <w:lang w:val="es-ES"/>
        </w:rPr>
      </w:pPr>
    </w:p>
    <w:p w14:paraId="000000C0" w14:textId="3BD8211C" w:rsidR="00241F4E" w:rsidRPr="00C40709" w:rsidRDefault="00CC09BD">
      <w:pPr>
        <w:spacing w:line="240" w:lineRule="auto"/>
        <w:rPr>
          <w:rFonts w:asciiTheme="majorHAnsi" w:eastAsia="Calibri" w:hAnsiTheme="majorHAnsi" w:cstheme="majorHAnsi"/>
          <w:lang w:val="es-ES"/>
        </w:rPr>
      </w:pPr>
      <w:hyperlink r:id="rId20" w:anchor="anchor684841" w:history="1">
        <w:r w:rsidR="005F7FB9" w:rsidRPr="00C40709">
          <w:rPr>
            <w:rStyle w:val="Hyperlink"/>
            <w:rFonts w:asciiTheme="majorHAnsi" w:eastAsia="Calibri" w:hAnsiTheme="majorHAnsi" w:cstheme="majorHAnsi"/>
            <w:lang w:val="es-ES"/>
          </w:rPr>
          <w:t xml:space="preserve">Ley de </w:t>
        </w:r>
        <w:r w:rsidR="006701B8" w:rsidRPr="006701B8">
          <w:rPr>
            <w:rStyle w:val="Hyperlink"/>
            <w:rFonts w:asciiTheme="majorHAnsi" w:eastAsia="Calibri" w:hAnsiTheme="majorHAnsi" w:cstheme="majorHAnsi"/>
            <w:lang w:val="es-ES"/>
          </w:rPr>
          <w:t>Extradición</w:t>
        </w:r>
      </w:hyperlink>
    </w:p>
    <w:p w14:paraId="000000C1" w14:textId="77777777" w:rsidR="00241F4E" w:rsidRPr="00C40709" w:rsidRDefault="00241F4E">
      <w:pPr>
        <w:spacing w:line="240" w:lineRule="auto"/>
        <w:rPr>
          <w:rFonts w:asciiTheme="majorHAnsi" w:eastAsia="Calibri" w:hAnsiTheme="majorHAnsi" w:cstheme="majorHAnsi"/>
          <w:lang w:val="es-ES"/>
        </w:rPr>
      </w:pPr>
    </w:p>
    <w:p w14:paraId="000000C4" w14:textId="4BFA3F79" w:rsidR="00241F4E" w:rsidRPr="00C40709" w:rsidRDefault="00CC09BD" w:rsidP="005F7FB9">
      <w:pPr>
        <w:spacing w:line="240" w:lineRule="auto"/>
        <w:rPr>
          <w:rFonts w:asciiTheme="majorHAnsi" w:eastAsia="Calibri" w:hAnsiTheme="majorHAnsi" w:cstheme="majorHAnsi"/>
          <w:lang w:val="es-ES"/>
        </w:rPr>
      </w:pPr>
      <w:hyperlink r:id="rId21" w:history="1">
        <w:r w:rsidR="00892C68" w:rsidRPr="00C40709">
          <w:rPr>
            <w:rStyle w:val="Hyperlink"/>
            <w:rFonts w:asciiTheme="majorHAnsi" w:eastAsia="Calibri" w:hAnsiTheme="majorHAnsi" w:cstheme="majorHAnsi"/>
            <w:lang w:val="es-ES"/>
          </w:rPr>
          <w:t>Reglamento sustitutivo para el Sistema Nacional de Protección y Asistencia a Víctimas, Testigos y Otros Participantes en el Proceso Penal</w:t>
        </w:r>
      </w:hyperlink>
      <w:r w:rsidR="005F7FB9" w:rsidRPr="00C40709">
        <w:rPr>
          <w:rFonts w:asciiTheme="majorHAnsi" w:eastAsia="Calibri" w:hAnsiTheme="majorHAnsi" w:cstheme="majorHAnsi"/>
          <w:lang w:val="es-ES"/>
        </w:rPr>
        <w:t xml:space="preserve"> </w:t>
      </w:r>
    </w:p>
    <w:p w14:paraId="000000C5" w14:textId="77777777" w:rsidR="00241F4E" w:rsidRPr="00C40709" w:rsidRDefault="00241F4E">
      <w:pPr>
        <w:spacing w:line="240" w:lineRule="auto"/>
        <w:rPr>
          <w:rFonts w:asciiTheme="majorHAnsi" w:eastAsia="Calibri" w:hAnsiTheme="majorHAnsi" w:cstheme="majorHAnsi"/>
          <w:lang w:val="es-ES"/>
        </w:rPr>
      </w:pPr>
    </w:p>
    <w:p w14:paraId="000000C6" w14:textId="2150C6FB" w:rsidR="00241F4E" w:rsidRPr="00C40709" w:rsidRDefault="00CC09BD">
      <w:pPr>
        <w:spacing w:line="240" w:lineRule="auto"/>
        <w:rPr>
          <w:rFonts w:asciiTheme="majorHAnsi" w:eastAsia="Calibri" w:hAnsiTheme="majorHAnsi" w:cstheme="majorHAnsi"/>
          <w:lang w:val="es-ES"/>
        </w:rPr>
      </w:pPr>
      <w:hyperlink r:id="rId22" w:history="1">
        <w:r w:rsidR="00892C68" w:rsidRPr="00C40709">
          <w:rPr>
            <w:rStyle w:val="Hyperlink"/>
            <w:rFonts w:asciiTheme="majorHAnsi" w:eastAsia="Calibri" w:hAnsiTheme="majorHAnsi" w:cstheme="majorHAnsi"/>
            <w:lang w:val="es-ES"/>
          </w:rPr>
          <w:t>Decreto Ejecutivo 1166 sobre el certificado de antec</w:t>
        </w:r>
        <w:r w:rsidR="005F7FB9" w:rsidRPr="00C40709">
          <w:rPr>
            <w:rStyle w:val="Hyperlink"/>
            <w:rFonts w:asciiTheme="majorHAnsi" w:eastAsia="Calibri" w:hAnsiTheme="majorHAnsi" w:cstheme="majorHAnsi"/>
            <w:lang w:val="es-ES"/>
          </w:rPr>
          <w:t>edentes penales</w:t>
        </w:r>
      </w:hyperlink>
    </w:p>
    <w:p w14:paraId="000000C7" w14:textId="77777777" w:rsidR="00241F4E" w:rsidRPr="00C40709" w:rsidRDefault="00241F4E">
      <w:pPr>
        <w:spacing w:line="240" w:lineRule="auto"/>
        <w:rPr>
          <w:rFonts w:asciiTheme="majorHAnsi" w:eastAsia="Calibri" w:hAnsiTheme="majorHAnsi" w:cstheme="majorHAnsi"/>
          <w:lang w:val="es-ES"/>
        </w:rPr>
      </w:pPr>
    </w:p>
    <w:p w14:paraId="000000C8" w14:textId="04F632D3" w:rsidR="00241F4E" w:rsidRPr="00C40709" w:rsidRDefault="00CC09BD">
      <w:pPr>
        <w:spacing w:line="240" w:lineRule="auto"/>
        <w:rPr>
          <w:rFonts w:asciiTheme="majorHAnsi" w:eastAsia="Calibri" w:hAnsiTheme="majorHAnsi" w:cstheme="majorHAnsi"/>
          <w:lang w:val="es-ES"/>
        </w:rPr>
      </w:pPr>
      <w:hyperlink r:id="rId23" w:history="1">
        <w:r w:rsidR="005F7FB9" w:rsidRPr="00C40709">
          <w:rPr>
            <w:rStyle w:val="Hyperlink"/>
            <w:rFonts w:asciiTheme="majorHAnsi" w:eastAsia="Calibri" w:hAnsiTheme="majorHAnsi" w:cstheme="majorHAnsi"/>
            <w:lang w:val="es-ES"/>
          </w:rPr>
          <w:t>Ley del Turismo</w:t>
        </w:r>
      </w:hyperlink>
    </w:p>
    <w:p w14:paraId="000000C9" w14:textId="77777777" w:rsidR="00241F4E" w:rsidRPr="00C40709" w:rsidRDefault="00241F4E">
      <w:pPr>
        <w:spacing w:line="240" w:lineRule="auto"/>
        <w:rPr>
          <w:rFonts w:asciiTheme="majorHAnsi" w:eastAsia="Calibri" w:hAnsiTheme="majorHAnsi" w:cstheme="majorHAnsi"/>
          <w:lang w:val="es-ES"/>
        </w:rPr>
      </w:pPr>
    </w:p>
    <w:p w14:paraId="26C8C7A1" w14:textId="21526994" w:rsidR="00A63651" w:rsidRPr="00C40709" w:rsidRDefault="00A63651">
      <w:pPr>
        <w:spacing w:line="240" w:lineRule="auto"/>
        <w:rPr>
          <w:rFonts w:asciiTheme="majorHAnsi" w:eastAsia="Calibri" w:hAnsiTheme="majorHAnsi" w:cstheme="majorHAnsi"/>
          <w:lang w:val="es-ES"/>
        </w:rPr>
      </w:pPr>
      <w:hyperlink r:id="rId24" w:history="1">
        <w:r w:rsidRPr="00C40709">
          <w:rPr>
            <w:rStyle w:val="Hyperlink"/>
            <w:rFonts w:asciiTheme="majorHAnsi" w:hAnsiTheme="majorHAnsi" w:cstheme="majorHAnsi"/>
            <w:lang w:val="es-ES"/>
          </w:rPr>
          <w:t>Ley Orgánica de Movilidad Humana</w:t>
        </w:r>
      </w:hyperlink>
      <w:r w:rsidRPr="00C40709">
        <w:rPr>
          <w:rFonts w:asciiTheme="majorHAnsi" w:hAnsiTheme="majorHAnsi" w:cstheme="majorHAnsi"/>
          <w:lang w:val="es-ES"/>
        </w:rPr>
        <w:t xml:space="preserve">. </w:t>
      </w:r>
    </w:p>
    <w:p w14:paraId="000000CB" w14:textId="77777777" w:rsidR="00241F4E" w:rsidRPr="00C40709" w:rsidRDefault="00241F4E">
      <w:pPr>
        <w:spacing w:line="240" w:lineRule="auto"/>
        <w:rPr>
          <w:rFonts w:asciiTheme="majorHAnsi" w:eastAsia="Calibri" w:hAnsiTheme="majorHAnsi" w:cstheme="majorHAnsi"/>
          <w:lang w:val="es-ES"/>
        </w:rPr>
      </w:pPr>
    </w:p>
    <w:p w14:paraId="000000CC" w14:textId="45041B63" w:rsidR="00241F4E" w:rsidRPr="00C40709" w:rsidRDefault="00CC09BD">
      <w:pPr>
        <w:shd w:val="clear" w:color="auto" w:fill="FFFFFF"/>
        <w:spacing w:after="420" w:line="240" w:lineRule="auto"/>
        <w:rPr>
          <w:rFonts w:asciiTheme="majorHAnsi" w:eastAsia="Calibri" w:hAnsiTheme="majorHAnsi" w:cstheme="majorHAnsi"/>
          <w:lang w:val="es-ES"/>
        </w:rPr>
      </w:pPr>
      <w:hyperlink r:id="rId25" w:history="1">
        <w:r w:rsidR="00892C68" w:rsidRPr="00C40709">
          <w:rPr>
            <w:rStyle w:val="Hyperlink"/>
            <w:rFonts w:asciiTheme="majorHAnsi" w:eastAsia="Calibri" w:hAnsiTheme="majorHAnsi" w:cstheme="majorHAnsi"/>
            <w:lang w:val="es-ES"/>
          </w:rPr>
          <w:t>Reglamento a la Le</w:t>
        </w:r>
        <w:r w:rsidR="005F7FB9" w:rsidRPr="00C40709">
          <w:rPr>
            <w:rStyle w:val="Hyperlink"/>
            <w:rFonts w:asciiTheme="majorHAnsi" w:eastAsia="Calibri" w:hAnsiTheme="majorHAnsi" w:cstheme="majorHAnsi"/>
            <w:lang w:val="es-ES"/>
          </w:rPr>
          <w:t>y Orgánica de Movilidad Humana</w:t>
        </w:r>
      </w:hyperlink>
    </w:p>
    <w:p w14:paraId="000000CD" w14:textId="29BD1349" w:rsidR="00241F4E" w:rsidRPr="00C40709" w:rsidRDefault="00CC09BD">
      <w:pPr>
        <w:shd w:val="clear" w:color="auto" w:fill="FFFFFF"/>
        <w:spacing w:after="420" w:line="240" w:lineRule="auto"/>
        <w:rPr>
          <w:rStyle w:val="Hyperlink"/>
          <w:rFonts w:asciiTheme="majorHAnsi" w:eastAsia="Calibri" w:hAnsiTheme="majorHAnsi" w:cstheme="majorHAnsi"/>
          <w:lang w:val="es-ES"/>
        </w:rPr>
      </w:pPr>
      <w:hyperlink r:id="rId26" w:history="1">
        <w:r w:rsidR="00892C68" w:rsidRPr="00C40709">
          <w:rPr>
            <w:rStyle w:val="Hyperlink"/>
            <w:rFonts w:asciiTheme="majorHAnsi" w:eastAsia="Calibri" w:hAnsiTheme="majorHAnsi" w:cstheme="majorHAnsi"/>
            <w:lang w:val="es-ES"/>
          </w:rPr>
          <w:t>Protocolo Entrevista Forense para Niño</w:t>
        </w:r>
        <w:r w:rsidR="005F7FB9" w:rsidRPr="00C40709">
          <w:rPr>
            <w:rStyle w:val="Hyperlink"/>
            <w:rFonts w:asciiTheme="majorHAnsi" w:eastAsia="Calibri" w:hAnsiTheme="majorHAnsi" w:cstheme="majorHAnsi"/>
            <w:lang w:val="es-ES"/>
          </w:rPr>
          <w:t>s Victimas de Violencia Sexual</w:t>
        </w:r>
      </w:hyperlink>
    </w:p>
    <w:p w14:paraId="5599A42C" w14:textId="5D66C792" w:rsidR="00A63651" w:rsidRPr="00C40709" w:rsidRDefault="00A63651" w:rsidP="00C40709">
      <w:pPr>
        <w:shd w:val="clear" w:color="auto" w:fill="FFFFFF"/>
        <w:spacing w:after="420" w:line="240" w:lineRule="auto"/>
        <w:jc w:val="both"/>
        <w:rPr>
          <w:rFonts w:asciiTheme="majorHAnsi" w:hAnsiTheme="majorHAnsi" w:cstheme="majorHAnsi"/>
          <w:lang w:val="es-ES"/>
        </w:rPr>
      </w:pPr>
      <w:hyperlink r:id="rId27" w:history="1">
        <w:r w:rsidRPr="00C40709">
          <w:rPr>
            <w:rStyle w:val="Hyperlink"/>
            <w:rFonts w:asciiTheme="majorHAnsi" w:hAnsiTheme="majorHAnsi" w:cstheme="majorHAnsi"/>
            <w:lang w:val="es-ES"/>
          </w:rPr>
          <w:t>Código de Conducta para la Prevención de la Explotación Sexual de Niñas, Niños y Adolescentes en el Contexto de Viajes y Turismo para Prestadores de Servicios de Alojamiento Turístico</w:t>
        </w:r>
      </w:hyperlink>
      <w:r w:rsidRPr="00C40709">
        <w:rPr>
          <w:rFonts w:asciiTheme="majorHAnsi" w:hAnsiTheme="majorHAnsi" w:cstheme="majorHAnsi"/>
          <w:lang w:val="es-ES"/>
        </w:rPr>
        <w:t>.</w:t>
      </w:r>
    </w:p>
    <w:p w14:paraId="000000CE" w14:textId="77777777" w:rsidR="00241F4E" w:rsidRPr="00C40709" w:rsidRDefault="00892C68">
      <w:pPr>
        <w:rPr>
          <w:rFonts w:asciiTheme="majorHAnsi" w:hAnsiTheme="majorHAnsi" w:cstheme="majorHAnsi"/>
          <w:lang w:val="es-ES"/>
        </w:rPr>
      </w:pPr>
      <w:r w:rsidRPr="00C40709">
        <w:rPr>
          <w:rFonts w:asciiTheme="majorHAnsi" w:hAnsiTheme="majorHAnsi" w:cstheme="majorHAnsi"/>
          <w:lang w:val="es-ES"/>
        </w:rPr>
        <w:tab/>
      </w:r>
      <w:r w:rsidRPr="00C40709">
        <w:rPr>
          <w:rFonts w:asciiTheme="majorHAnsi" w:hAnsiTheme="majorHAnsi" w:cstheme="majorHAnsi"/>
          <w:lang w:val="es-ES"/>
        </w:rPr>
        <w:tab/>
      </w:r>
      <w:r w:rsidRPr="00C40709">
        <w:rPr>
          <w:rFonts w:asciiTheme="majorHAnsi" w:hAnsiTheme="majorHAnsi" w:cstheme="majorHAnsi"/>
          <w:lang w:val="es-ES"/>
        </w:rPr>
        <w:tab/>
      </w:r>
    </w:p>
    <w:p w14:paraId="000000D0" w14:textId="7EC2AEC6" w:rsidR="00241F4E" w:rsidRPr="00C40709" w:rsidRDefault="00892C68">
      <w:pPr>
        <w:rPr>
          <w:rFonts w:asciiTheme="majorHAnsi" w:hAnsiTheme="majorHAnsi" w:cstheme="majorHAnsi"/>
          <w:lang w:val="es-ES"/>
        </w:rPr>
      </w:pPr>
      <w:r w:rsidRPr="00C40709">
        <w:rPr>
          <w:rFonts w:asciiTheme="majorHAnsi" w:hAnsiTheme="majorHAnsi" w:cstheme="majorHAnsi"/>
          <w:lang w:val="es-ES"/>
        </w:rPr>
        <w:tab/>
      </w:r>
      <w:r w:rsidRPr="00C40709">
        <w:rPr>
          <w:rFonts w:asciiTheme="majorHAnsi" w:hAnsiTheme="majorHAnsi" w:cstheme="majorHAnsi"/>
          <w:lang w:val="es-ES"/>
        </w:rPr>
        <w:tab/>
      </w:r>
      <w:bookmarkStart w:id="1" w:name="_GoBack"/>
      <w:bookmarkEnd w:id="1"/>
    </w:p>
    <w:sectPr w:rsidR="00241F4E" w:rsidRPr="00C40709">
      <w:pgSz w:w="11909" w:h="16834"/>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60E29" w16cex:dateUtc="2022-10-03T2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1B7CB2" w16cid:durableId="26E60E2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AE5A2" w14:textId="77777777" w:rsidR="00C074E4" w:rsidRDefault="00C074E4" w:rsidP="00AC74CF">
      <w:pPr>
        <w:spacing w:line="240" w:lineRule="auto"/>
      </w:pPr>
      <w:r>
        <w:separator/>
      </w:r>
    </w:p>
  </w:endnote>
  <w:endnote w:type="continuationSeparator" w:id="0">
    <w:p w14:paraId="3370C3DB" w14:textId="77777777" w:rsidR="00C074E4" w:rsidRDefault="00C074E4" w:rsidP="00AC74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9DDC2" w14:textId="77777777" w:rsidR="00C074E4" w:rsidRDefault="00C074E4" w:rsidP="00AC74CF">
      <w:pPr>
        <w:spacing w:line="240" w:lineRule="auto"/>
      </w:pPr>
      <w:r>
        <w:separator/>
      </w:r>
    </w:p>
  </w:footnote>
  <w:footnote w:type="continuationSeparator" w:id="0">
    <w:p w14:paraId="01544FF8" w14:textId="77777777" w:rsidR="00C074E4" w:rsidRDefault="00C074E4" w:rsidP="00AC74CF">
      <w:pPr>
        <w:spacing w:line="240" w:lineRule="auto"/>
      </w:pPr>
      <w:r>
        <w:continuationSeparator/>
      </w:r>
    </w:p>
  </w:footnote>
  <w:footnote w:id="1">
    <w:p w14:paraId="48040AD9" w14:textId="77777777" w:rsidR="00AC74CF" w:rsidRPr="00C40709" w:rsidRDefault="00AC74CF" w:rsidP="00AC74CF">
      <w:pPr>
        <w:pStyle w:val="FootnoteText"/>
        <w:rPr>
          <w:rFonts w:asciiTheme="majorHAnsi" w:hAnsiTheme="majorHAnsi" w:cstheme="majorHAnsi"/>
        </w:rPr>
      </w:pPr>
      <w:r w:rsidRPr="00CC09BD">
        <w:rPr>
          <w:rStyle w:val="FootnoteReference"/>
          <w:rFonts w:asciiTheme="majorHAnsi" w:hAnsiTheme="majorHAnsi" w:cstheme="majorHAnsi"/>
        </w:rPr>
        <w:footnoteRef/>
      </w:r>
      <w:r w:rsidRPr="00C40709">
        <w:rPr>
          <w:rFonts w:asciiTheme="majorHAnsi" w:hAnsiTheme="majorHAnsi" w:cstheme="majorHAnsi"/>
        </w:rPr>
        <w:t xml:space="preserve"> República del Ecuador. (2014). </w:t>
      </w:r>
      <w:hyperlink r:id="rId1" w:history="1">
        <w:r w:rsidRPr="00C40709">
          <w:rPr>
            <w:rStyle w:val="Hyperlink"/>
            <w:rFonts w:asciiTheme="majorHAnsi" w:hAnsiTheme="majorHAnsi" w:cstheme="majorHAnsi"/>
          </w:rPr>
          <w:t>Código Orgánico Integral Penal</w:t>
        </w:r>
      </w:hyperlink>
      <w:r w:rsidRPr="00C40709">
        <w:rPr>
          <w:rFonts w:asciiTheme="majorHAnsi" w:hAnsiTheme="majorHAnsi" w:cstheme="majorHAnsi"/>
        </w:rPr>
        <w:t>. Artículo 14(2)(b).</w:t>
      </w:r>
    </w:p>
  </w:footnote>
  <w:footnote w:id="2">
    <w:p w14:paraId="61404B0E" w14:textId="77777777" w:rsidR="00AC74CF" w:rsidRPr="00C40709" w:rsidRDefault="00AC74CF" w:rsidP="00AC74CF">
      <w:pPr>
        <w:pStyle w:val="FootnoteText"/>
        <w:rPr>
          <w:rFonts w:asciiTheme="majorHAnsi" w:hAnsiTheme="majorHAnsi" w:cstheme="majorHAnsi"/>
        </w:rPr>
      </w:pPr>
      <w:r w:rsidRPr="00C40709">
        <w:rPr>
          <w:rStyle w:val="FootnoteReference"/>
          <w:rFonts w:asciiTheme="majorHAnsi" w:hAnsiTheme="majorHAnsi" w:cstheme="majorHAnsi"/>
        </w:rPr>
        <w:footnoteRef/>
      </w:r>
      <w:r w:rsidRPr="00C40709">
        <w:rPr>
          <w:rFonts w:asciiTheme="majorHAnsi" w:hAnsiTheme="majorHAnsi" w:cstheme="majorHAnsi"/>
        </w:rPr>
        <w:t xml:space="preserve"> República del Ecuador. (2014). </w:t>
      </w:r>
      <w:hyperlink r:id="rId2" w:history="1">
        <w:r w:rsidRPr="00C40709">
          <w:rPr>
            <w:rStyle w:val="Hyperlink"/>
            <w:rFonts w:asciiTheme="majorHAnsi" w:hAnsiTheme="majorHAnsi" w:cstheme="majorHAnsi"/>
          </w:rPr>
          <w:t>Código Orgánico Integral Penal</w:t>
        </w:r>
      </w:hyperlink>
      <w:r w:rsidRPr="00C40709">
        <w:rPr>
          <w:rFonts w:asciiTheme="majorHAnsi" w:hAnsiTheme="majorHAnsi" w:cstheme="majorHAnsi"/>
        </w:rPr>
        <w:t>. Artículos 79 a 139.</w:t>
      </w:r>
    </w:p>
  </w:footnote>
  <w:footnote w:id="3">
    <w:p w14:paraId="7A8C4148" w14:textId="77777777" w:rsidR="00AC74CF" w:rsidRPr="00C40709" w:rsidRDefault="00AC74CF" w:rsidP="00AC74CF">
      <w:pPr>
        <w:pStyle w:val="FootnoteText"/>
        <w:rPr>
          <w:rFonts w:asciiTheme="majorHAnsi" w:hAnsiTheme="majorHAnsi" w:cstheme="majorHAnsi"/>
        </w:rPr>
      </w:pPr>
      <w:r w:rsidRPr="00C40709">
        <w:rPr>
          <w:rStyle w:val="FootnoteReference"/>
          <w:rFonts w:asciiTheme="majorHAnsi" w:hAnsiTheme="majorHAnsi" w:cstheme="majorHAnsi"/>
        </w:rPr>
        <w:footnoteRef/>
      </w:r>
      <w:r w:rsidRPr="00C40709">
        <w:rPr>
          <w:rFonts w:asciiTheme="majorHAnsi" w:hAnsiTheme="majorHAnsi" w:cstheme="majorHAnsi"/>
        </w:rPr>
        <w:t xml:space="preserve"> República del Ecuador. (2014). </w:t>
      </w:r>
      <w:hyperlink r:id="rId3" w:history="1">
        <w:r w:rsidRPr="00C40709">
          <w:rPr>
            <w:rStyle w:val="Hyperlink"/>
            <w:rFonts w:asciiTheme="majorHAnsi" w:hAnsiTheme="majorHAnsi" w:cstheme="majorHAnsi"/>
          </w:rPr>
          <w:t>Código Orgánico Integral Penal</w:t>
        </w:r>
      </w:hyperlink>
      <w:r w:rsidRPr="00C40709">
        <w:rPr>
          <w:rFonts w:asciiTheme="majorHAnsi" w:hAnsiTheme="majorHAnsi" w:cstheme="majorHAnsi"/>
        </w:rPr>
        <w:t>. Artículo 14(2)(e).</w:t>
      </w:r>
    </w:p>
  </w:footnote>
  <w:footnote w:id="4">
    <w:p w14:paraId="7B36B847" w14:textId="77777777" w:rsidR="00AC74CF" w:rsidRPr="00C40709" w:rsidRDefault="00AC74CF" w:rsidP="00AC74CF">
      <w:pPr>
        <w:pStyle w:val="FootnoteText"/>
        <w:rPr>
          <w:rFonts w:asciiTheme="majorHAnsi" w:hAnsiTheme="majorHAnsi" w:cstheme="majorHAnsi"/>
          <w:lang w:val="en-US"/>
        </w:rPr>
      </w:pPr>
      <w:r w:rsidRPr="00C40709">
        <w:rPr>
          <w:rStyle w:val="FootnoteReference"/>
          <w:rFonts w:asciiTheme="majorHAnsi" w:hAnsiTheme="majorHAnsi" w:cstheme="majorHAnsi"/>
        </w:rPr>
        <w:footnoteRef/>
      </w:r>
      <w:r w:rsidRPr="00C40709">
        <w:rPr>
          <w:rFonts w:asciiTheme="majorHAnsi" w:hAnsiTheme="majorHAnsi" w:cstheme="majorHAnsi"/>
        </w:rPr>
        <w:t xml:space="preserve"> República del Ecuador. (2014). </w:t>
      </w:r>
      <w:hyperlink r:id="rId4" w:history="1">
        <w:r w:rsidRPr="00C40709">
          <w:rPr>
            <w:rStyle w:val="Hyperlink"/>
            <w:rFonts w:asciiTheme="majorHAnsi" w:hAnsiTheme="majorHAnsi" w:cstheme="majorHAnsi"/>
          </w:rPr>
          <w:t>Código Orgánico Integral Penal</w:t>
        </w:r>
      </w:hyperlink>
      <w:r w:rsidRPr="00C40709">
        <w:rPr>
          <w:rFonts w:asciiTheme="majorHAnsi" w:hAnsiTheme="majorHAnsi" w:cstheme="majorHAnsi"/>
        </w:rPr>
        <w:t xml:space="preserve">. </w:t>
      </w:r>
      <w:r w:rsidRPr="00C40709">
        <w:rPr>
          <w:rFonts w:asciiTheme="majorHAnsi" w:hAnsiTheme="majorHAnsi" w:cstheme="majorHAnsi"/>
          <w:lang w:val="en-US"/>
        </w:rPr>
        <w:t>Artículo 16(4).</w:t>
      </w:r>
    </w:p>
  </w:footnote>
  <w:footnote w:id="5">
    <w:p w14:paraId="7146F2E1" w14:textId="77777777" w:rsidR="00087AF4" w:rsidRPr="00C40709" w:rsidRDefault="00087AF4" w:rsidP="00087AF4">
      <w:pPr>
        <w:pStyle w:val="FootnoteText"/>
        <w:rPr>
          <w:rFonts w:asciiTheme="majorHAnsi" w:hAnsiTheme="majorHAnsi" w:cstheme="majorHAnsi"/>
        </w:rPr>
      </w:pPr>
      <w:r w:rsidRPr="00C40709">
        <w:rPr>
          <w:rStyle w:val="FootnoteReference"/>
          <w:rFonts w:asciiTheme="majorHAnsi" w:hAnsiTheme="majorHAnsi" w:cstheme="majorHAnsi"/>
        </w:rPr>
        <w:footnoteRef/>
      </w:r>
      <w:r w:rsidRPr="00C40709">
        <w:rPr>
          <w:rFonts w:asciiTheme="majorHAnsi" w:hAnsiTheme="majorHAnsi" w:cstheme="majorHAnsi"/>
        </w:rPr>
        <w:t xml:space="preserve"> República del Ecuador. (2014). </w:t>
      </w:r>
      <w:hyperlink r:id="rId5" w:history="1">
        <w:r w:rsidRPr="00C40709">
          <w:rPr>
            <w:rStyle w:val="Hyperlink"/>
            <w:rFonts w:asciiTheme="majorHAnsi" w:hAnsiTheme="majorHAnsi" w:cstheme="majorHAnsi"/>
          </w:rPr>
          <w:t>Código Orgánico Integral Penal</w:t>
        </w:r>
      </w:hyperlink>
      <w:r w:rsidRPr="00C40709">
        <w:rPr>
          <w:rFonts w:asciiTheme="majorHAnsi" w:hAnsiTheme="majorHAnsi" w:cstheme="majorHAnsi"/>
        </w:rPr>
        <w:t>. Artículo 61</w:t>
      </w:r>
      <w:r w:rsidRPr="00C40709">
        <w:rPr>
          <w:rFonts w:asciiTheme="majorHAnsi" w:hAnsiTheme="majorHAnsi" w:cstheme="majorHAnsi"/>
        </w:rPr>
        <w:t>.</w:t>
      </w:r>
    </w:p>
  </w:footnote>
  <w:footnote w:id="6">
    <w:p w14:paraId="118F22B2" w14:textId="77777777" w:rsidR="00087AF4" w:rsidRPr="00C40709" w:rsidRDefault="00087AF4" w:rsidP="00087AF4">
      <w:pPr>
        <w:pStyle w:val="FootnoteText"/>
        <w:jc w:val="both"/>
        <w:rPr>
          <w:rFonts w:asciiTheme="majorHAnsi" w:hAnsiTheme="majorHAnsi" w:cstheme="majorHAnsi"/>
        </w:rPr>
      </w:pPr>
      <w:r w:rsidRPr="00C40709">
        <w:rPr>
          <w:rStyle w:val="FootnoteReference"/>
          <w:rFonts w:asciiTheme="majorHAnsi" w:hAnsiTheme="majorHAnsi" w:cstheme="majorHAnsi"/>
        </w:rPr>
        <w:footnoteRef/>
      </w:r>
      <w:r w:rsidRPr="00C40709">
        <w:rPr>
          <w:rFonts w:asciiTheme="majorHAnsi" w:hAnsiTheme="majorHAnsi" w:cstheme="majorHAnsi"/>
        </w:rPr>
        <w:t xml:space="preserve"> Corte Constitucional. (2021). </w:t>
      </w:r>
      <w:hyperlink r:id="rId6" w:history="1">
        <w:r w:rsidRPr="00C40709">
          <w:rPr>
            <w:rStyle w:val="Hyperlink"/>
            <w:rFonts w:asciiTheme="majorHAnsi" w:hAnsiTheme="majorHAnsi" w:cstheme="majorHAnsi"/>
          </w:rPr>
          <w:t>Sentencia No. 13-18-CN/21</w:t>
        </w:r>
      </w:hyperlink>
      <w:r w:rsidRPr="00C40709">
        <w:rPr>
          <w:rFonts w:asciiTheme="majorHAnsi" w:hAnsiTheme="majorHAnsi" w:cstheme="majorHAnsi"/>
        </w:rPr>
        <w:t xml:space="preserve">. </w:t>
      </w:r>
    </w:p>
  </w:footnote>
  <w:footnote w:id="7">
    <w:p w14:paraId="3B32C78D" w14:textId="724CFCBA" w:rsidR="00087AF4" w:rsidRPr="00C40709" w:rsidRDefault="00087AF4" w:rsidP="00087AF4">
      <w:pPr>
        <w:pStyle w:val="FootnoteText"/>
        <w:jc w:val="both"/>
        <w:rPr>
          <w:rFonts w:asciiTheme="majorHAnsi" w:hAnsiTheme="majorHAnsi" w:cstheme="majorHAnsi"/>
        </w:rPr>
      </w:pPr>
      <w:r w:rsidRPr="00C40709">
        <w:rPr>
          <w:rStyle w:val="FootnoteReference"/>
          <w:rFonts w:asciiTheme="majorHAnsi" w:hAnsiTheme="majorHAnsi" w:cstheme="majorHAnsi"/>
        </w:rPr>
        <w:footnoteRef/>
      </w:r>
      <w:r w:rsidRPr="00C40709">
        <w:rPr>
          <w:rFonts w:asciiTheme="majorHAnsi" w:hAnsiTheme="majorHAnsi" w:cstheme="majorHAnsi"/>
        </w:rPr>
        <w:t xml:space="preserve"> Corte Constitucional. (2021). Sentencia No. 13-18-CN/21.</w:t>
      </w:r>
    </w:p>
  </w:footnote>
  <w:footnote w:id="8">
    <w:p w14:paraId="4EF993EF" w14:textId="77777777" w:rsidR="004C5F43" w:rsidRPr="00C40709" w:rsidRDefault="004C5F43" w:rsidP="004C5F43">
      <w:pPr>
        <w:pStyle w:val="FootnoteText"/>
        <w:rPr>
          <w:rFonts w:asciiTheme="majorHAnsi" w:hAnsiTheme="majorHAnsi" w:cstheme="majorHAnsi"/>
        </w:rPr>
      </w:pPr>
      <w:r w:rsidRPr="00C40709">
        <w:rPr>
          <w:rStyle w:val="FootnoteReference"/>
          <w:rFonts w:asciiTheme="majorHAnsi" w:hAnsiTheme="majorHAnsi" w:cstheme="majorHAnsi"/>
        </w:rPr>
        <w:footnoteRef/>
      </w:r>
      <w:r w:rsidRPr="00C40709">
        <w:rPr>
          <w:rFonts w:asciiTheme="majorHAnsi" w:hAnsiTheme="majorHAnsi" w:cstheme="majorHAnsi"/>
        </w:rPr>
        <w:t xml:space="preserve"> República del Ecuador. (2014). </w:t>
      </w:r>
      <w:hyperlink r:id="rId7" w:history="1">
        <w:r w:rsidRPr="00C40709">
          <w:rPr>
            <w:rStyle w:val="Hyperlink"/>
            <w:rFonts w:asciiTheme="majorHAnsi" w:hAnsiTheme="majorHAnsi" w:cstheme="majorHAnsi"/>
          </w:rPr>
          <w:t>Código Orgánico Integral Penal</w:t>
        </w:r>
      </w:hyperlink>
      <w:r w:rsidRPr="00C40709">
        <w:rPr>
          <w:rFonts w:asciiTheme="majorHAnsi" w:hAnsiTheme="majorHAnsi" w:cstheme="majorHAnsi"/>
        </w:rPr>
        <w:t>. Artículo 65.</w:t>
      </w:r>
    </w:p>
  </w:footnote>
  <w:footnote w:id="9">
    <w:p w14:paraId="41F4D274" w14:textId="77777777" w:rsidR="005D56A1" w:rsidRPr="00C40709" w:rsidRDefault="005D56A1" w:rsidP="005D56A1">
      <w:pPr>
        <w:pStyle w:val="FootnoteText"/>
        <w:rPr>
          <w:rFonts w:asciiTheme="majorHAnsi" w:hAnsiTheme="majorHAnsi" w:cstheme="majorHAnsi"/>
        </w:rPr>
      </w:pPr>
      <w:r w:rsidRPr="00C40709">
        <w:rPr>
          <w:rStyle w:val="FootnoteReference"/>
          <w:rFonts w:asciiTheme="majorHAnsi" w:hAnsiTheme="majorHAnsi" w:cstheme="majorHAnsi"/>
        </w:rPr>
        <w:footnoteRef/>
      </w:r>
      <w:r w:rsidRPr="00C40709">
        <w:rPr>
          <w:rFonts w:asciiTheme="majorHAnsi" w:hAnsiTheme="majorHAnsi" w:cstheme="majorHAnsi"/>
        </w:rPr>
        <w:t xml:space="preserve"> República del Ecuador. (2008). </w:t>
      </w:r>
      <w:hyperlink r:id="rId8" w:anchor="vid/643461273/vincent_this/jurisdiction:EC;*+vincent:idbafueifwccitovecwjrsejawdkcyniqmxtirue+content_type:9/*/WW/vid/631446215" w:history="1">
        <w:r w:rsidRPr="00C40709">
          <w:rPr>
            <w:rStyle w:val="Hyperlink"/>
            <w:rFonts w:asciiTheme="majorHAnsi" w:hAnsiTheme="majorHAnsi" w:cstheme="majorHAnsi"/>
          </w:rPr>
          <w:t>Constitución de la República del Ecuador.</w:t>
        </w:r>
      </w:hyperlink>
      <w:r w:rsidRPr="00C40709">
        <w:rPr>
          <w:rFonts w:asciiTheme="majorHAnsi" w:hAnsiTheme="majorHAnsi" w:cstheme="majorHAnsi"/>
        </w:rPr>
        <w:t xml:space="preserve"> Artículo 78.</w:t>
      </w:r>
    </w:p>
  </w:footnote>
  <w:footnote w:id="10">
    <w:p w14:paraId="683A92CA" w14:textId="77777777" w:rsidR="005D56A1" w:rsidRPr="00C40709" w:rsidRDefault="005D56A1" w:rsidP="005D56A1">
      <w:pPr>
        <w:pStyle w:val="FootnoteText"/>
        <w:rPr>
          <w:rFonts w:asciiTheme="majorHAnsi" w:hAnsiTheme="majorHAnsi" w:cstheme="majorHAnsi"/>
        </w:rPr>
      </w:pPr>
      <w:r w:rsidRPr="00C40709">
        <w:rPr>
          <w:rStyle w:val="FootnoteReference"/>
          <w:rFonts w:asciiTheme="majorHAnsi" w:hAnsiTheme="majorHAnsi" w:cstheme="majorHAnsi"/>
        </w:rPr>
        <w:footnoteRef/>
      </w:r>
      <w:r w:rsidRPr="00C40709">
        <w:rPr>
          <w:rFonts w:asciiTheme="majorHAnsi" w:hAnsiTheme="majorHAnsi" w:cstheme="majorHAnsi"/>
        </w:rPr>
        <w:t xml:space="preserve"> República del Ecuador. (2008). </w:t>
      </w:r>
      <w:hyperlink r:id="rId9" w:history="1">
        <w:r w:rsidRPr="00C40709">
          <w:rPr>
            <w:rStyle w:val="Hyperlink"/>
            <w:rFonts w:asciiTheme="majorHAnsi" w:hAnsiTheme="majorHAnsi" w:cstheme="majorHAnsi"/>
          </w:rPr>
          <w:t>Constitución de la República del Ecuador.</w:t>
        </w:r>
      </w:hyperlink>
      <w:r w:rsidRPr="00C40709">
        <w:rPr>
          <w:rFonts w:asciiTheme="majorHAnsi" w:hAnsiTheme="majorHAnsi" w:cstheme="majorHAnsi"/>
        </w:rPr>
        <w:t xml:space="preserve"> Artículo 78.</w:t>
      </w:r>
    </w:p>
  </w:footnote>
  <w:footnote w:id="11">
    <w:p w14:paraId="2A1E49BE" w14:textId="77777777" w:rsidR="005D56A1" w:rsidRPr="00C40709" w:rsidRDefault="005D56A1" w:rsidP="005D56A1">
      <w:pPr>
        <w:pStyle w:val="FootnoteText"/>
        <w:rPr>
          <w:rFonts w:asciiTheme="majorHAnsi" w:hAnsiTheme="majorHAnsi" w:cstheme="majorHAnsi"/>
        </w:rPr>
      </w:pPr>
      <w:r w:rsidRPr="00C40709">
        <w:rPr>
          <w:rStyle w:val="FootnoteReference"/>
          <w:rFonts w:asciiTheme="majorHAnsi" w:hAnsiTheme="majorHAnsi" w:cstheme="majorHAnsi"/>
        </w:rPr>
        <w:footnoteRef/>
      </w:r>
      <w:r w:rsidRPr="00C40709">
        <w:rPr>
          <w:rFonts w:asciiTheme="majorHAnsi" w:hAnsiTheme="majorHAnsi" w:cstheme="majorHAnsi"/>
        </w:rPr>
        <w:t xml:space="preserve"> República del Ecuador. (2014). </w:t>
      </w:r>
      <w:hyperlink r:id="rId10" w:history="1">
        <w:r w:rsidRPr="00C40709">
          <w:rPr>
            <w:rStyle w:val="Hyperlink"/>
            <w:rFonts w:asciiTheme="majorHAnsi" w:hAnsiTheme="majorHAnsi" w:cstheme="majorHAnsi"/>
          </w:rPr>
          <w:t>Código Orgánico Integral Penal</w:t>
        </w:r>
      </w:hyperlink>
      <w:r w:rsidRPr="00C40709">
        <w:rPr>
          <w:rFonts w:asciiTheme="majorHAnsi" w:hAnsiTheme="majorHAnsi" w:cstheme="majorHAnsi"/>
        </w:rPr>
        <w:t>. Artículo 110(6).</w:t>
      </w:r>
    </w:p>
  </w:footnote>
  <w:footnote w:id="12">
    <w:p w14:paraId="66FFC940" w14:textId="77777777" w:rsidR="005D56A1" w:rsidRPr="00C40709" w:rsidRDefault="005D56A1" w:rsidP="005D56A1">
      <w:pPr>
        <w:pStyle w:val="FootnoteText"/>
        <w:rPr>
          <w:rFonts w:asciiTheme="majorHAnsi" w:hAnsiTheme="majorHAnsi" w:cstheme="majorHAnsi"/>
        </w:rPr>
      </w:pPr>
      <w:r w:rsidRPr="00C40709">
        <w:rPr>
          <w:rStyle w:val="FootnoteReference"/>
          <w:rFonts w:asciiTheme="majorHAnsi" w:hAnsiTheme="majorHAnsi" w:cstheme="majorHAnsi"/>
        </w:rPr>
        <w:footnoteRef/>
      </w:r>
      <w:r w:rsidRPr="00C40709">
        <w:rPr>
          <w:rFonts w:asciiTheme="majorHAnsi" w:hAnsiTheme="majorHAnsi" w:cstheme="majorHAnsi"/>
        </w:rPr>
        <w:t xml:space="preserve"> República del Ecuador. (2009). </w:t>
      </w:r>
      <w:hyperlink r:id="rId11" w:history="1">
        <w:r w:rsidRPr="00C40709">
          <w:rPr>
            <w:rStyle w:val="Hyperlink"/>
            <w:rFonts w:asciiTheme="majorHAnsi" w:hAnsiTheme="majorHAnsi" w:cstheme="majorHAnsi"/>
          </w:rPr>
          <w:t>Código Orgánico de la Función Judicial</w:t>
        </w:r>
      </w:hyperlink>
      <w:r w:rsidRPr="00C40709">
        <w:rPr>
          <w:rFonts w:asciiTheme="majorHAnsi" w:hAnsiTheme="majorHAnsi" w:cstheme="majorHAnsi"/>
        </w:rPr>
        <w:t>. Artículo 282.</w:t>
      </w:r>
    </w:p>
  </w:footnote>
  <w:footnote w:id="13">
    <w:p w14:paraId="7DD8842C" w14:textId="77777777" w:rsidR="005D56A1" w:rsidRPr="00C40709" w:rsidRDefault="005D56A1" w:rsidP="005D56A1">
      <w:pPr>
        <w:pStyle w:val="FootnoteText"/>
        <w:jc w:val="both"/>
        <w:rPr>
          <w:rFonts w:asciiTheme="majorHAnsi" w:hAnsiTheme="majorHAnsi" w:cstheme="majorHAnsi"/>
        </w:rPr>
      </w:pPr>
      <w:r w:rsidRPr="00C40709">
        <w:rPr>
          <w:rStyle w:val="FootnoteReference"/>
          <w:rFonts w:asciiTheme="majorHAnsi" w:hAnsiTheme="majorHAnsi" w:cstheme="majorHAnsi"/>
        </w:rPr>
        <w:footnoteRef/>
      </w:r>
      <w:r w:rsidRPr="00C40709">
        <w:rPr>
          <w:rFonts w:asciiTheme="majorHAnsi" w:hAnsiTheme="majorHAnsi" w:cstheme="majorHAnsi"/>
        </w:rPr>
        <w:t xml:space="preserve"> Fiscalía General del Estado. (2018). </w:t>
      </w:r>
      <w:hyperlink r:id="rId12" w:anchor="search/jurisdiction:EC/REGLAMENTO+DEL+SISTEMA+DE+PROTECCION+A+TESTIGOS+Y+VICTIMAS/WW/vid/716850025" w:history="1">
        <w:r w:rsidRPr="00C40709">
          <w:rPr>
            <w:rStyle w:val="Hyperlink"/>
            <w:rFonts w:asciiTheme="majorHAnsi" w:hAnsiTheme="majorHAnsi" w:cstheme="majorHAnsi"/>
          </w:rPr>
          <w:t>Reglamento del Sistema Nacional de Protección y Asistencia a Víctimas, Testigos y otros Participantes en el Proceso Penal</w:t>
        </w:r>
      </w:hyperlink>
      <w:r w:rsidRPr="00C40709">
        <w:rPr>
          <w:rFonts w:asciiTheme="majorHAnsi" w:hAnsiTheme="majorHAnsi" w:cstheme="majorHAnsi"/>
        </w:rPr>
        <w:t xml:space="preserve">. Disposición General Cuarta.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F5364"/>
    <w:multiLevelType w:val="multilevel"/>
    <w:tmpl w:val="B02E4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5D17B4"/>
    <w:multiLevelType w:val="multilevel"/>
    <w:tmpl w:val="063C6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AA205CF"/>
    <w:multiLevelType w:val="multilevel"/>
    <w:tmpl w:val="29C4A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B381555"/>
    <w:multiLevelType w:val="multilevel"/>
    <w:tmpl w:val="29947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4E"/>
    <w:rsid w:val="00087AF4"/>
    <w:rsid w:val="00095790"/>
    <w:rsid w:val="000D257E"/>
    <w:rsid w:val="00195BC4"/>
    <w:rsid w:val="001C2EB7"/>
    <w:rsid w:val="001D7733"/>
    <w:rsid w:val="001E390A"/>
    <w:rsid w:val="001E462E"/>
    <w:rsid w:val="00241F4E"/>
    <w:rsid w:val="002E7BFF"/>
    <w:rsid w:val="0031114B"/>
    <w:rsid w:val="003B3EC6"/>
    <w:rsid w:val="003C57E8"/>
    <w:rsid w:val="00452432"/>
    <w:rsid w:val="00492841"/>
    <w:rsid w:val="004C0BC3"/>
    <w:rsid w:val="004C5F43"/>
    <w:rsid w:val="004E5A3B"/>
    <w:rsid w:val="005D56A1"/>
    <w:rsid w:val="005F7FB9"/>
    <w:rsid w:val="006701B8"/>
    <w:rsid w:val="006E5E86"/>
    <w:rsid w:val="007038AC"/>
    <w:rsid w:val="00770F50"/>
    <w:rsid w:val="007D0DC0"/>
    <w:rsid w:val="007D6E83"/>
    <w:rsid w:val="00890B4F"/>
    <w:rsid w:val="00892C68"/>
    <w:rsid w:val="00991CBB"/>
    <w:rsid w:val="00A568C0"/>
    <w:rsid w:val="00A63651"/>
    <w:rsid w:val="00A72A8E"/>
    <w:rsid w:val="00A74782"/>
    <w:rsid w:val="00AC74CF"/>
    <w:rsid w:val="00AD0C0D"/>
    <w:rsid w:val="00B633FA"/>
    <w:rsid w:val="00B94305"/>
    <w:rsid w:val="00C074E4"/>
    <w:rsid w:val="00C40709"/>
    <w:rsid w:val="00CC09BD"/>
    <w:rsid w:val="00D05A4E"/>
    <w:rsid w:val="00D938C8"/>
    <w:rsid w:val="00D96FA7"/>
    <w:rsid w:val="00E2483A"/>
    <w:rsid w:val="00E30EB4"/>
    <w:rsid w:val="00F87180"/>
    <w:rsid w:val="00F93808"/>
    <w:rsid w:val="00FC2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66CAF"/>
  <w15:docId w15:val="{162F3B4F-C88C-4BE6-9C1A-937EFF46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178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8EF"/>
    <w:rPr>
      <w:rFonts w:ascii="Segoe UI" w:hAnsi="Segoe UI" w:cs="Segoe UI"/>
      <w:sz w:val="18"/>
      <w:szCs w:val="18"/>
    </w:rPr>
  </w:style>
  <w:style w:type="character" w:styleId="CommentReference">
    <w:name w:val="annotation reference"/>
    <w:basedOn w:val="DefaultParagraphFont"/>
    <w:uiPriority w:val="99"/>
    <w:semiHidden/>
    <w:unhideWhenUsed/>
    <w:rsid w:val="000178EF"/>
    <w:rPr>
      <w:sz w:val="16"/>
      <w:szCs w:val="16"/>
    </w:rPr>
  </w:style>
  <w:style w:type="paragraph" w:styleId="CommentText">
    <w:name w:val="annotation text"/>
    <w:basedOn w:val="Normal"/>
    <w:link w:val="CommentTextChar"/>
    <w:uiPriority w:val="99"/>
    <w:unhideWhenUsed/>
    <w:rsid w:val="000178EF"/>
    <w:pPr>
      <w:spacing w:line="240" w:lineRule="auto"/>
    </w:pPr>
    <w:rPr>
      <w:sz w:val="20"/>
      <w:szCs w:val="20"/>
    </w:rPr>
  </w:style>
  <w:style w:type="character" w:customStyle="1" w:styleId="CommentTextChar">
    <w:name w:val="Comment Text Char"/>
    <w:basedOn w:val="DefaultParagraphFont"/>
    <w:link w:val="CommentText"/>
    <w:uiPriority w:val="99"/>
    <w:rsid w:val="000178EF"/>
    <w:rPr>
      <w:sz w:val="20"/>
      <w:szCs w:val="20"/>
    </w:rPr>
  </w:style>
  <w:style w:type="paragraph" w:styleId="CommentSubject">
    <w:name w:val="annotation subject"/>
    <w:basedOn w:val="CommentText"/>
    <w:next w:val="CommentText"/>
    <w:link w:val="CommentSubjectChar"/>
    <w:uiPriority w:val="99"/>
    <w:semiHidden/>
    <w:unhideWhenUsed/>
    <w:rsid w:val="000178EF"/>
    <w:rPr>
      <w:b/>
      <w:bCs/>
    </w:rPr>
  </w:style>
  <w:style w:type="character" w:customStyle="1" w:styleId="CommentSubjectChar">
    <w:name w:val="Comment Subject Char"/>
    <w:basedOn w:val="CommentTextChar"/>
    <w:link w:val="CommentSubject"/>
    <w:uiPriority w:val="99"/>
    <w:semiHidden/>
    <w:rsid w:val="000178EF"/>
    <w:rPr>
      <w:b/>
      <w:bCs/>
      <w:sz w:val="20"/>
      <w:szCs w:val="20"/>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F7FB9"/>
    <w:rPr>
      <w:color w:val="0000FF" w:themeColor="hyperlink"/>
      <w:u w:val="single"/>
    </w:rPr>
  </w:style>
  <w:style w:type="paragraph" w:styleId="HTMLPreformatted">
    <w:name w:val="HTML Preformatted"/>
    <w:basedOn w:val="Normal"/>
    <w:link w:val="HTMLPreformattedChar"/>
    <w:uiPriority w:val="99"/>
    <w:unhideWhenUsed/>
    <w:rsid w:val="00A7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EC" w:eastAsia="es-EC"/>
    </w:rPr>
  </w:style>
  <w:style w:type="character" w:customStyle="1" w:styleId="HTMLPreformattedChar">
    <w:name w:val="HTML Preformatted Char"/>
    <w:basedOn w:val="DefaultParagraphFont"/>
    <w:link w:val="HTMLPreformatted"/>
    <w:uiPriority w:val="99"/>
    <w:rsid w:val="00A72A8E"/>
    <w:rPr>
      <w:rFonts w:ascii="Courier New" w:eastAsia="Times New Roman" w:hAnsi="Courier New" w:cs="Courier New"/>
      <w:sz w:val="20"/>
      <w:szCs w:val="20"/>
      <w:lang w:val="es-EC" w:eastAsia="es-EC"/>
    </w:rPr>
  </w:style>
  <w:style w:type="paragraph" w:styleId="Revision">
    <w:name w:val="Revision"/>
    <w:hidden/>
    <w:uiPriority w:val="99"/>
    <w:semiHidden/>
    <w:rsid w:val="00AC74CF"/>
    <w:pPr>
      <w:spacing w:line="240" w:lineRule="auto"/>
    </w:pPr>
  </w:style>
  <w:style w:type="paragraph" w:styleId="FootnoteText">
    <w:name w:val="footnote text"/>
    <w:basedOn w:val="Normal"/>
    <w:link w:val="FootnoteTextChar"/>
    <w:uiPriority w:val="99"/>
    <w:unhideWhenUsed/>
    <w:rsid w:val="00AC74CF"/>
    <w:pPr>
      <w:spacing w:line="240" w:lineRule="auto"/>
    </w:pPr>
    <w:rPr>
      <w:rFonts w:asciiTheme="minorHAnsi" w:eastAsiaTheme="minorHAnsi" w:hAnsiTheme="minorHAnsi" w:cstheme="minorBidi"/>
      <w:sz w:val="20"/>
      <w:szCs w:val="20"/>
      <w:lang w:val="es-ES"/>
    </w:rPr>
  </w:style>
  <w:style w:type="character" w:customStyle="1" w:styleId="FootnoteTextChar">
    <w:name w:val="Footnote Text Char"/>
    <w:basedOn w:val="DefaultParagraphFont"/>
    <w:link w:val="FootnoteText"/>
    <w:uiPriority w:val="99"/>
    <w:rsid w:val="00AC74CF"/>
    <w:rPr>
      <w:rFonts w:asciiTheme="minorHAnsi" w:eastAsiaTheme="minorHAnsi" w:hAnsiTheme="minorHAnsi" w:cstheme="minorBidi"/>
      <w:sz w:val="20"/>
      <w:szCs w:val="20"/>
      <w:lang w:val="es-ES"/>
    </w:rPr>
  </w:style>
  <w:style w:type="character" w:styleId="FootnoteReference">
    <w:name w:val="footnote reference"/>
    <w:aliases w:val="ftref,Footnote symbol,Знак сноски 1,Ciae niinee 1,4_G,Footnotes refss,Footnote Ref,16 Point,Superscript 6 Point, BVI fnr Char Char Char Char Char Char Char Char Char Char,BVI fnr Char Char Char"/>
    <w:basedOn w:val="DefaultParagraphFont"/>
    <w:uiPriority w:val="99"/>
    <w:unhideWhenUsed/>
    <w:qFormat/>
    <w:rsid w:val="00AC74CF"/>
    <w:rPr>
      <w:vertAlign w:val="superscript"/>
    </w:rPr>
  </w:style>
  <w:style w:type="character" w:styleId="FollowedHyperlink">
    <w:name w:val="FollowedHyperlink"/>
    <w:basedOn w:val="DefaultParagraphFont"/>
    <w:uiPriority w:val="99"/>
    <w:semiHidden/>
    <w:unhideWhenUsed/>
    <w:rsid w:val="00AC74CF"/>
    <w:rPr>
      <w:color w:val="800080" w:themeColor="followedHyperlink"/>
      <w:u w:val="single"/>
    </w:rPr>
  </w:style>
  <w:style w:type="character" w:customStyle="1" w:styleId="UnresolvedMention">
    <w:name w:val="Unresolved Mention"/>
    <w:basedOn w:val="DefaultParagraphFont"/>
    <w:uiPriority w:val="99"/>
    <w:semiHidden/>
    <w:unhideWhenUsed/>
    <w:rsid w:val="00A63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33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pat.org/wp-content/uploads/2021/08/SECTT-Lista-de-verficacion_SP_Nota-explicativa.pdf" TargetMode="External"/><Relationship Id="rId18" Type="http://schemas.openxmlformats.org/officeDocument/2006/relationships/hyperlink" Target="https://drive.google.com/file/d/0B048WkRgr8JQZVBvNmUzWUxTeTQ/view" TargetMode="External"/><Relationship Id="rId26" Type="http://schemas.openxmlformats.org/officeDocument/2006/relationships/hyperlink" Target="https://www.igualdad.gob.ec/wp-content/uploads/downloads/2019/07/protocolo_entrevista_victimas_de_violencia_sexual.pdf" TargetMode="External"/><Relationship Id="rId3" Type="http://schemas.openxmlformats.org/officeDocument/2006/relationships/numbering" Target="numbering.xml"/><Relationship Id="rId21" Type="http://schemas.openxmlformats.org/officeDocument/2006/relationships/hyperlink" Target="http://www.oas.org/juridico/PDFs/mesicic5_ecu_ane_con_judi_15_reg_sist_pro_asis_vic_test.pdf" TargetMode="External"/><Relationship Id="rId7" Type="http://schemas.openxmlformats.org/officeDocument/2006/relationships/footnotes" Target="footnotes.xml"/><Relationship Id="rId12" Type="http://schemas.openxmlformats.org/officeDocument/2006/relationships/hyperlink" Target="https://ecpat.org/wp-content/uploads/2021/08/Offender-on-the-Move_SPA_2018APR30_v5.pdf" TargetMode="External"/><Relationship Id="rId17" Type="http://schemas.openxmlformats.org/officeDocument/2006/relationships/hyperlink" Target="https://biblioteca.defensoria.gob.ec/bitstream/37000/3365/1/C&#243;digo%20de%20la%20Ni&#241;ez%20y%20Adolescencia%20%2817-01-2022%29.pdf" TargetMode="External"/><Relationship Id="rId25" Type="http://schemas.openxmlformats.org/officeDocument/2006/relationships/hyperlink" Target="https://www.cancilleria.gob.ec/wp-content/uploads/2018/05/reglamento_ley_de_movilidad_humana_reformado_abril_2018.pdf" TargetMode="External"/><Relationship Id="rId2" Type="http://schemas.openxmlformats.org/officeDocument/2006/relationships/customXml" Target="../customXml/item2.xml"/><Relationship Id="rId16" Type="http://schemas.openxmlformats.org/officeDocument/2006/relationships/hyperlink" Target="https://biblioteca.defensoria.gob.ec/bitstream/37000/3427/1/C&#243;digo%20Org&#225;nico%20Integral%20Penal.pdf" TargetMode="External"/><Relationship Id="rId20" Type="http://schemas.openxmlformats.org/officeDocument/2006/relationships/hyperlink" Target="https://www.derechoecuador.com/registro-oficial/2000/08/registro-oficial-18-de-agosto-del-2000-suplement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pat.org/wp-content/uploads/2021/10/SECTT-Checklist_SPA.pdf" TargetMode="External"/><Relationship Id="rId24" Type="http://schemas.openxmlformats.org/officeDocument/2006/relationships/hyperlink" Target="https://www.cancilleria.gob.ec/wp-content/uploads/2021/04/ley_org&#225;nica_de_movilidad_humana_2021.pdf" TargetMode="External"/><Relationship Id="rId5" Type="http://schemas.openxmlformats.org/officeDocument/2006/relationships/settings" Target="settings.xml"/><Relationship Id="rId15" Type="http://schemas.openxmlformats.org/officeDocument/2006/relationships/hyperlink" Target="https://tbinternet.ohchr.org/Treaties/CEDAW/Shared%20Documents/ECU/INT_CEDAW_ARL_ECU_18950_S.pdf" TargetMode="External"/><Relationship Id="rId23" Type="http://schemas.openxmlformats.org/officeDocument/2006/relationships/hyperlink" Target="https://www.turismo.gob.ec/wp-content/uploads/2015/04/LEY-DE-TURISMO.pdf"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biblioteca.defensoria.gob.ec/bitstream/37000/3390/1/Constituci&#243;n%20de%20la%20Rep&#250;blica%20del%20Ecuador%20%28&#218;ltima%20Reforma%2025%20de%20enero%202021%29.pdf" TargetMode="External"/><Relationship Id="rId3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cpat.org/wp-content/uploads/2021/09/Assesment-Matrix_2021SEP_SPA_v2.pdf" TargetMode="External"/><Relationship Id="rId22" Type="http://schemas.openxmlformats.org/officeDocument/2006/relationships/hyperlink" Target="https://www.gob.ec/sites/default/files/regulations/2018-11/Decreto%20Certificados%20Penales.pdf" TargetMode="External"/><Relationship Id="rId27" Type="http://schemas.openxmlformats.org/officeDocument/2006/relationships/hyperlink" Target="https://www.turismo.gob.ec/wp-content/uploads/2022/06/ACUERDO-MINISTERIAL-No.-2022-014-Expedir-el-Codigo-para-la-conducta-de-la-Explotacion-sexual.pdf" TargetMode="External"/><Relationship Id="rId30"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app.vlex.com/" TargetMode="External"/><Relationship Id="rId3" Type="http://schemas.openxmlformats.org/officeDocument/2006/relationships/hyperlink" Target="https://biblioteca.defensoria.gob.ec/bitstream/37000/3427/1/C&#243;digo%20Org&#225;nico%20Integral%20Penal.pdf" TargetMode="External"/><Relationship Id="rId7" Type="http://schemas.openxmlformats.org/officeDocument/2006/relationships/hyperlink" Target="https://biblioteca.defensoria.gob.ec/bitstream/37000/3427/1/C&#243;digo%20Org&#225;nico%20Integral%20Penal.pdf" TargetMode="External"/><Relationship Id="rId12" Type="http://schemas.openxmlformats.org/officeDocument/2006/relationships/hyperlink" Target="https://app.vlex.com/" TargetMode="External"/><Relationship Id="rId2" Type="http://schemas.openxmlformats.org/officeDocument/2006/relationships/hyperlink" Target="https://biblioteca.defensoria.gob.ec/bitstream/37000/3427/1/C&#243;digo%20Org&#225;nico%20Integral%20Penal.pdf" TargetMode="External"/><Relationship Id="rId1" Type="http://schemas.openxmlformats.org/officeDocument/2006/relationships/hyperlink" Target="https://biblioteca.defensoria.gob.ec/bitstream/37000/3427/1/C&#243;digo%20Org&#225;nico%20Integral%20Penal.pdf" TargetMode="External"/><Relationship Id="rId6" Type="http://schemas.openxmlformats.org/officeDocument/2006/relationships/hyperlink" Target="http://esacc.corteconstitucional.gob.ec/storage/api/v1/10_DWL_FL/e2NhcnBldGE6J3RyYW1pdGUnLCB1dWlkOidhOGUxNjkzYi05NmIxLTQ0ZmItYjRkOS05MjZlNzllYWUwOGQucGRmJ30=" TargetMode="External"/><Relationship Id="rId11" Type="http://schemas.openxmlformats.org/officeDocument/2006/relationships/hyperlink" Target="https://biblioteca.defensoria.gob.ec/bitstream/37000/3363/1/C&#243;digo%20Org&#225;nico%20de%20la%20Funci&#243;n%20Judicial%20%28COFJ%2010-03-2022%29.pdf" TargetMode="External"/><Relationship Id="rId5" Type="http://schemas.openxmlformats.org/officeDocument/2006/relationships/hyperlink" Target="https://biblioteca.defensoria.gob.ec/bitstream/37000/3427/1/C&#243;digo%20Org&#225;nico%20Integral%20Penal.pdf" TargetMode="External"/><Relationship Id="rId10" Type="http://schemas.openxmlformats.org/officeDocument/2006/relationships/hyperlink" Target="https://biblioteca.defensoria.gob.ec/bitstream/37000/3427/1/C&#243;digo%20Org&#225;nico%20Integral%20Penal.pdf" TargetMode="External"/><Relationship Id="rId4" Type="http://schemas.openxmlformats.org/officeDocument/2006/relationships/hyperlink" Target="https://biblioteca.defensoria.gob.ec/bitstream/37000/3427/1/C&#243;digo%20Org&#225;nico%20Integral%20Penal.pdf" TargetMode="External"/><Relationship Id="rId9" Type="http://schemas.openxmlformats.org/officeDocument/2006/relationships/hyperlink" Target="https://biblioteca.defensoria.gob.ec/bitstream/37000/3390/1/Constituci&#243;n%20de%20la%20Rep&#250;blica%20del%20Ecuador%20%28&#218;ltima%20Reforma%2025%20de%20enero%202021%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kHjepE7xxrvMnDEMIlwnhSiPKw==">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D82E06-3D48-42BA-A651-6667F9B0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3355</Words>
  <Characters>19125</Characters>
  <Application>Microsoft Office Word</Application>
  <DocSecurity>0</DocSecurity>
  <Lines>159</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Varrella</dc:creator>
  <cp:lastModifiedBy>Andrea Varrella</cp:lastModifiedBy>
  <cp:revision>17</cp:revision>
  <dcterms:created xsi:type="dcterms:W3CDTF">2021-11-03T22:48:00Z</dcterms:created>
  <dcterms:modified xsi:type="dcterms:W3CDTF">2022-12-28T05:43:00Z</dcterms:modified>
</cp:coreProperties>
</file>